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2F469" w14:textId="77777777" w:rsidR="003C757D" w:rsidRPr="00CC3F2A" w:rsidRDefault="003C757D" w:rsidP="003C757D">
      <w:pPr>
        <w:pStyle w:val="BodyText"/>
        <w:jc w:val="center"/>
        <w:rPr>
          <w:rFonts w:asciiTheme="minorHAnsi" w:hAnsiTheme="minorHAnsi" w:cstheme="minorHAnsi"/>
          <w:b/>
          <w:sz w:val="48"/>
          <w:szCs w:val="44"/>
        </w:rPr>
      </w:pPr>
    </w:p>
    <w:p w14:paraId="0AA71738" w14:textId="77777777" w:rsidR="003C757D" w:rsidRPr="00CC3F2A" w:rsidRDefault="003C757D" w:rsidP="003C757D">
      <w:pPr>
        <w:jc w:val="center"/>
        <w:rPr>
          <w:rFonts w:asciiTheme="minorHAnsi" w:hAnsiTheme="minorHAnsi" w:cstheme="minorHAnsi"/>
          <w:b/>
        </w:rPr>
      </w:pPr>
    </w:p>
    <w:p w14:paraId="4732863A" w14:textId="77777777" w:rsidR="003C757D" w:rsidRPr="00CC3F2A" w:rsidRDefault="003C757D" w:rsidP="003C757D">
      <w:pPr>
        <w:jc w:val="center"/>
        <w:rPr>
          <w:rFonts w:asciiTheme="minorHAnsi" w:hAnsiTheme="minorHAnsi" w:cstheme="minorHAnsi"/>
          <w:b/>
        </w:rPr>
      </w:pPr>
    </w:p>
    <w:p w14:paraId="78543276" w14:textId="77777777" w:rsidR="003C757D" w:rsidRPr="00CC3F2A" w:rsidRDefault="003C757D" w:rsidP="003C757D">
      <w:pPr>
        <w:jc w:val="center"/>
        <w:rPr>
          <w:rFonts w:asciiTheme="minorHAnsi" w:hAnsiTheme="minorHAnsi" w:cstheme="minorHAnsi"/>
          <w:b/>
          <w:sz w:val="36"/>
        </w:rPr>
      </w:pPr>
      <w:r>
        <w:rPr>
          <w:noProof/>
        </w:rPr>
        <w:drawing>
          <wp:inline distT="0" distB="0" distL="0" distR="0" wp14:anchorId="7528AE37" wp14:editId="34B06EB7">
            <wp:extent cx="3209925" cy="4405630"/>
            <wp:effectExtent l="0" t="0" r="9525" b="0"/>
            <wp:docPr id="1792384674" name="Picture 1" descr="A logo with a lion and a crow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384674" name="Picture 1" descr="A logo with a lion and a crown&#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9925" cy="4405630"/>
                    </a:xfrm>
                    <a:prstGeom prst="rect">
                      <a:avLst/>
                    </a:prstGeom>
                    <a:noFill/>
                    <a:ln>
                      <a:noFill/>
                    </a:ln>
                  </pic:spPr>
                </pic:pic>
              </a:graphicData>
            </a:graphic>
          </wp:inline>
        </w:drawing>
      </w:r>
    </w:p>
    <w:p w14:paraId="5120DF70" w14:textId="77777777" w:rsidR="003C757D" w:rsidRPr="00CC3F2A" w:rsidRDefault="003C757D" w:rsidP="003C757D">
      <w:pPr>
        <w:jc w:val="center"/>
        <w:rPr>
          <w:rFonts w:asciiTheme="minorHAnsi" w:hAnsiTheme="minorHAnsi" w:cstheme="minorHAnsi"/>
          <w:b/>
          <w:sz w:val="32"/>
          <w:szCs w:val="32"/>
        </w:rPr>
      </w:pPr>
    </w:p>
    <w:p w14:paraId="4ADD939B" w14:textId="2A972F4C" w:rsidR="00E239B4" w:rsidRDefault="00E239B4">
      <w:pPr>
        <w:rPr>
          <w:rFonts w:asciiTheme="majorHAnsi" w:hAnsiTheme="majorHAnsi" w:cstheme="majorHAnsi"/>
          <w:b/>
          <w:bCs/>
        </w:rPr>
      </w:pPr>
      <w:r>
        <w:rPr>
          <w:rFonts w:asciiTheme="majorHAnsi" w:hAnsiTheme="majorHAnsi" w:cstheme="majorHAnsi"/>
          <w:b/>
          <w:bCs/>
        </w:rPr>
        <w:br w:type="page"/>
      </w:r>
    </w:p>
    <w:p w14:paraId="2A41AA62" w14:textId="77777777" w:rsidR="00E239B4" w:rsidRDefault="00E239B4" w:rsidP="00E239B4">
      <w:pPr>
        <w:rPr>
          <w:rFonts w:asciiTheme="minorHAnsi" w:hAnsiTheme="minorHAnsi" w:cstheme="minorHAnsi"/>
          <w:b/>
          <w:bCs/>
          <w:sz w:val="36"/>
          <w:szCs w:val="32"/>
        </w:rPr>
      </w:pPr>
    </w:p>
    <w:p w14:paraId="3432411A" w14:textId="77777777" w:rsidR="00E239B4" w:rsidRPr="00CC3F2A" w:rsidRDefault="00E239B4" w:rsidP="00E239B4">
      <w:pPr>
        <w:rPr>
          <w:rFonts w:asciiTheme="minorHAnsi" w:hAnsiTheme="minorHAnsi" w:cstheme="minorHAnsi"/>
          <w:b/>
          <w:bCs/>
          <w:sz w:val="36"/>
          <w:szCs w:val="32"/>
        </w:rPr>
      </w:pPr>
    </w:p>
    <w:p w14:paraId="06F85193" w14:textId="77777777" w:rsidR="00E239B4" w:rsidRDefault="00E239B4" w:rsidP="00E239B4">
      <w:pPr>
        <w:jc w:val="center"/>
        <w:rPr>
          <w:rFonts w:asciiTheme="minorHAnsi" w:hAnsiTheme="minorHAnsi" w:cstheme="minorHAnsi"/>
          <w:color w:val="0F1111"/>
          <w:shd w:val="clear" w:color="auto" w:fill="FFFFFF"/>
        </w:rPr>
      </w:pPr>
      <w:r>
        <w:rPr>
          <w:rFonts w:asciiTheme="minorHAnsi" w:hAnsiTheme="minorHAnsi" w:cstheme="minorHAnsi"/>
          <w:noProof/>
          <w:color w:val="0F1111"/>
          <w:shd w:val="clear" w:color="auto" w:fill="FFFFFF"/>
        </w:rPr>
        <w:drawing>
          <wp:inline distT="0" distB="0" distL="0" distR="0" wp14:anchorId="36B8BD9C" wp14:editId="684EDCB1">
            <wp:extent cx="2014537" cy="1050357"/>
            <wp:effectExtent l="0" t="0" r="0" b="0"/>
            <wp:docPr id="2128586556" name="Picture 7"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586556" name="Picture 7" descr="A logo with text on it&#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30055" cy="1058448"/>
                    </a:xfrm>
                    <a:prstGeom prst="rect">
                      <a:avLst/>
                    </a:prstGeom>
                  </pic:spPr>
                </pic:pic>
              </a:graphicData>
            </a:graphic>
          </wp:inline>
        </w:drawing>
      </w:r>
    </w:p>
    <w:p w14:paraId="7F5E20AE" w14:textId="77777777" w:rsidR="00E239B4" w:rsidRDefault="00E239B4" w:rsidP="00E239B4">
      <w:pPr>
        <w:rPr>
          <w:rFonts w:asciiTheme="minorHAnsi" w:hAnsiTheme="minorHAnsi" w:cstheme="minorHAnsi"/>
          <w:color w:val="0F1111"/>
          <w:shd w:val="clear" w:color="auto" w:fill="FFFFFF"/>
        </w:rPr>
      </w:pPr>
    </w:p>
    <w:p w14:paraId="5918C0D3" w14:textId="77777777" w:rsidR="00E239B4" w:rsidRPr="0012274A" w:rsidRDefault="00E239B4" w:rsidP="00E239B4">
      <w:pPr>
        <w:rPr>
          <w:rFonts w:asciiTheme="minorHAnsi" w:hAnsiTheme="minorHAnsi" w:cstheme="minorHAnsi"/>
          <w:b/>
          <w:bCs/>
          <w:color w:val="0F1111"/>
          <w:sz w:val="32"/>
          <w:szCs w:val="32"/>
          <w:shd w:val="clear" w:color="auto" w:fill="FFFFFF"/>
        </w:rPr>
      </w:pPr>
      <w:r w:rsidRPr="0012274A">
        <w:rPr>
          <w:rFonts w:asciiTheme="minorHAnsi" w:hAnsiTheme="minorHAnsi" w:cstheme="minorHAnsi"/>
          <w:b/>
          <w:bCs/>
          <w:color w:val="0F1111"/>
          <w:sz w:val="32"/>
          <w:szCs w:val="32"/>
          <w:shd w:val="clear" w:color="auto" w:fill="FFFFFF"/>
        </w:rPr>
        <w:t>Scholarly Article Guidelines</w:t>
      </w:r>
    </w:p>
    <w:p w14:paraId="25AA442F" w14:textId="77777777" w:rsidR="00E239B4" w:rsidRPr="0012274A" w:rsidRDefault="00E239B4" w:rsidP="00E239B4">
      <w:pPr>
        <w:rPr>
          <w:rFonts w:asciiTheme="minorHAnsi" w:hAnsiTheme="minorHAnsi" w:cstheme="minorHAnsi"/>
          <w:color w:val="0F1111"/>
          <w:shd w:val="clear" w:color="auto" w:fill="FFFFFF"/>
        </w:rPr>
      </w:pPr>
    </w:p>
    <w:p w14:paraId="10067746" w14:textId="77777777" w:rsidR="00E239B4" w:rsidRPr="001C232E" w:rsidRDefault="00E239B4" w:rsidP="00E239B4">
      <w:pPr>
        <w:rPr>
          <w:rFonts w:asciiTheme="minorHAnsi" w:hAnsiTheme="minorHAnsi" w:cstheme="minorHAnsi"/>
          <w:color w:val="0F1111"/>
          <w:shd w:val="clear" w:color="auto" w:fill="FFFFFF"/>
        </w:rPr>
      </w:pPr>
      <w:r w:rsidRPr="001C232E">
        <w:rPr>
          <w:rFonts w:asciiTheme="minorHAnsi" w:hAnsiTheme="minorHAnsi" w:cstheme="minorHAnsi"/>
          <w:color w:val="0F1111"/>
          <w:shd w:val="clear" w:color="auto" w:fill="FFFFFF"/>
        </w:rPr>
        <w:t>Citations serve several purposes in academic or scholarly writing: </w:t>
      </w:r>
    </w:p>
    <w:p w14:paraId="631A74BF" w14:textId="77777777" w:rsidR="00E239B4" w:rsidRPr="001C232E" w:rsidRDefault="00E239B4" w:rsidP="00E239B4">
      <w:pPr>
        <w:numPr>
          <w:ilvl w:val="0"/>
          <w:numId w:val="6"/>
        </w:numPr>
        <w:rPr>
          <w:rFonts w:asciiTheme="minorHAnsi" w:hAnsiTheme="minorHAnsi" w:cstheme="minorHAnsi"/>
          <w:color w:val="0F1111"/>
          <w:shd w:val="clear" w:color="auto" w:fill="FFFFFF"/>
        </w:rPr>
      </w:pPr>
      <w:r w:rsidRPr="001C232E">
        <w:rPr>
          <w:rFonts w:asciiTheme="minorHAnsi" w:hAnsiTheme="minorHAnsi" w:cstheme="minorHAnsi"/>
          <w:color w:val="0F1111"/>
          <w:shd w:val="clear" w:color="auto" w:fill="FFFFFF"/>
        </w:rPr>
        <w:t>Shows the audience that you have properly researched the topic at hand, strengthening your authority as the writer</w:t>
      </w:r>
      <w:r>
        <w:rPr>
          <w:rFonts w:asciiTheme="minorHAnsi" w:hAnsiTheme="minorHAnsi" w:cstheme="minorHAnsi"/>
          <w:color w:val="0F1111"/>
          <w:shd w:val="clear" w:color="auto" w:fill="FFFFFF"/>
        </w:rPr>
        <w:t xml:space="preserve"> and allo</w:t>
      </w:r>
      <w:r w:rsidRPr="001C232E">
        <w:rPr>
          <w:rFonts w:asciiTheme="minorHAnsi" w:hAnsiTheme="minorHAnsi" w:cstheme="minorHAnsi"/>
          <w:color w:val="0F1111"/>
          <w:shd w:val="clear" w:color="auto" w:fill="FFFFFF"/>
        </w:rPr>
        <w:t>ws the audience to follow up with your resources if they want or need additional information on the topic.</w:t>
      </w:r>
    </w:p>
    <w:p w14:paraId="08FDA5B2" w14:textId="77777777" w:rsidR="00E239B4" w:rsidRPr="001C232E" w:rsidRDefault="00E239B4" w:rsidP="00E239B4">
      <w:pPr>
        <w:numPr>
          <w:ilvl w:val="0"/>
          <w:numId w:val="6"/>
        </w:numPr>
        <w:rPr>
          <w:rFonts w:asciiTheme="minorHAnsi" w:hAnsiTheme="minorHAnsi" w:cstheme="minorHAnsi"/>
          <w:color w:val="0F1111"/>
          <w:shd w:val="clear" w:color="auto" w:fill="FFFFFF"/>
        </w:rPr>
      </w:pPr>
      <w:r w:rsidRPr="001C232E">
        <w:rPr>
          <w:rFonts w:asciiTheme="minorHAnsi" w:hAnsiTheme="minorHAnsi" w:cstheme="minorHAnsi"/>
          <w:color w:val="0F1111"/>
          <w:shd w:val="clear" w:color="auto" w:fill="FFFFFF"/>
        </w:rPr>
        <w:t>Helps to position your essay in an ongoing scholarly conversation.</w:t>
      </w:r>
    </w:p>
    <w:p w14:paraId="05CA5D22" w14:textId="77777777" w:rsidR="00E239B4" w:rsidRPr="0012274A" w:rsidRDefault="00E239B4" w:rsidP="00E239B4">
      <w:pPr>
        <w:numPr>
          <w:ilvl w:val="0"/>
          <w:numId w:val="6"/>
        </w:numPr>
        <w:rPr>
          <w:rFonts w:asciiTheme="minorHAnsi" w:hAnsiTheme="minorHAnsi" w:cstheme="minorHAnsi"/>
          <w:color w:val="0F1111"/>
          <w:shd w:val="clear" w:color="auto" w:fill="FFFFFF"/>
        </w:rPr>
      </w:pPr>
      <w:r w:rsidRPr="001C232E">
        <w:rPr>
          <w:rFonts w:asciiTheme="minorHAnsi" w:hAnsiTheme="minorHAnsi" w:cstheme="minorHAnsi"/>
          <w:color w:val="0F1111"/>
          <w:shd w:val="clear" w:color="auto" w:fill="FFFFFF"/>
        </w:rPr>
        <w:t>Allows you to avoid plagiarism by properly giving credit to the original source of the words or ideas referenced in your paper.</w:t>
      </w:r>
    </w:p>
    <w:p w14:paraId="3F638F0F" w14:textId="77777777" w:rsidR="00E239B4" w:rsidRPr="001C232E" w:rsidRDefault="00E239B4" w:rsidP="00E239B4">
      <w:pPr>
        <w:ind w:left="720"/>
        <w:rPr>
          <w:rFonts w:asciiTheme="minorHAnsi" w:hAnsiTheme="minorHAnsi" w:cstheme="minorHAnsi"/>
          <w:color w:val="0F1111"/>
          <w:shd w:val="clear" w:color="auto" w:fill="FFFFFF"/>
        </w:rPr>
      </w:pPr>
    </w:p>
    <w:p w14:paraId="697404A5" w14:textId="77777777" w:rsidR="00E239B4" w:rsidRPr="001C232E" w:rsidRDefault="00E239B4" w:rsidP="00E239B4">
      <w:pPr>
        <w:rPr>
          <w:rFonts w:asciiTheme="minorHAnsi" w:hAnsiTheme="minorHAnsi" w:cstheme="minorHAnsi"/>
          <w:color w:val="0F1111"/>
          <w:shd w:val="clear" w:color="auto" w:fill="FFFFFF"/>
        </w:rPr>
      </w:pPr>
      <w:r w:rsidRPr="001C232E">
        <w:rPr>
          <w:rFonts w:asciiTheme="minorHAnsi" w:hAnsiTheme="minorHAnsi" w:cstheme="minorHAnsi"/>
          <w:b/>
          <w:bCs/>
          <w:color w:val="0F1111"/>
          <w:u w:val="single"/>
          <w:shd w:val="clear" w:color="auto" w:fill="FFFFFF"/>
        </w:rPr>
        <w:t>Why do we have to cite a certain way?</w:t>
      </w:r>
    </w:p>
    <w:p w14:paraId="22E311BF" w14:textId="77777777" w:rsidR="00E239B4" w:rsidRDefault="00E239B4" w:rsidP="00E239B4">
      <w:pPr>
        <w:rPr>
          <w:rFonts w:asciiTheme="minorHAnsi" w:hAnsiTheme="minorHAnsi" w:cstheme="minorHAnsi"/>
          <w:color w:val="0F1111"/>
          <w:shd w:val="clear" w:color="auto" w:fill="FFFFFF"/>
        </w:rPr>
      </w:pPr>
      <w:r w:rsidRPr="001C232E">
        <w:rPr>
          <w:rFonts w:asciiTheme="minorHAnsi" w:hAnsiTheme="minorHAnsi" w:cstheme="minorHAnsi"/>
          <w:color w:val="0F1111"/>
          <w:shd w:val="clear" w:color="auto" w:fill="FFFFFF"/>
        </w:rPr>
        <w:t>Different academic fields place varying degrees of emphasis on different things. Because of this, different citation styles have evolved over time to meet the specific needs of the discipline. Mastering the appropriate citation style is an important part of joining a scholarly community. Currently, the Seminary recognizes five citation styles: </w:t>
      </w:r>
      <w:r w:rsidRPr="001C232E">
        <w:rPr>
          <w:rFonts w:asciiTheme="minorHAnsi" w:hAnsiTheme="minorHAnsi" w:cstheme="minorHAnsi"/>
          <w:b/>
          <w:bCs/>
          <w:color w:val="0F1111"/>
          <w:shd w:val="clear" w:color="auto" w:fill="FFFFFF"/>
        </w:rPr>
        <w:t>MLA, APA, Chicago, SBL</w:t>
      </w:r>
      <w:r>
        <w:rPr>
          <w:rFonts w:asciiTheme="minorHAnsi" w:hAnsiTheme="minorHAnsi" w:cstheme="minorHAnsi"/>
          <w:color w:val="0F1111"/>
          <w:shd w:val="clear" w:color="auto" w:fill="FFFFFF"/>
        </w:rPr>
        <w:t xml:space="preserve">, with an emphasis on </w:t>
      </w:r>
      <w:r w:rsidRPr="001C232E">
        <w:rPr>
          <w:rFonts w:asciiTheme="minorHAnsi" w:hAnsiTheme="minorHAnsi" w:cstheme="minorHAnsi"/>
          <w:b/>
          <w:bCs/>
          <w:color w:val="0F1111"/>
          <w:shd w:val="clear" w:color="auto" w:fill="FFFFFF"/>
        </w:rPr>
        <w:t>Turabian</w:t>
      </w:r>
      <w:r>
        <w:rPr>
          <w:rFonts w:asciiTheme="minorHAnsi" w:hAnsiTheme="minorHAnsi" w:cstheme="minorHAnsi"/>
          <w:b/>
          <w:bCs/>
          <w:color w:val="0F1111"/>
          <w:shd w:val="clear" w:color="auto" w:fill="FFFFFF"/>
        </w:rPr>
        <w:t xml:space="preserve"> which we will use as an example below. </w:t>
      </w:r>
    </w:p>
    <w:p w14:paraId="7C2CA420" w14:textId="77777777" w:rsidR="00E239B4" w:rsidRPr="001C232E" w:rsidRDefault="00E239B4" w:rsidP="00E239B4">
      <w:pPr>
        <w:rPr>
          <w:rFonts w:asciiTheme="minorHAnsi" w:hAnsiTheme="minorHAnsi" w:cstheme="minorHAnsi"/>
          <w:color w:val="0F1111"/>
          <w:shd w:val="clear" w:color="auto" w:fill="FFFFFF"/>
        </w:rPr>
      </w:pPr>
    </w:p>
    <w:p w14:paraId="57A1545D" w14:textId="77777777" w:rsidR="00E239B4" w:rsidRPr="001C232E" w:rsidRDefault="00E239B4" w:rsidP="00E239B4">
      <w:pPr>
        <w:rPr>
          <w:rFonts w:asciiTheme="minorHAnsi" w:hAnsiTheme="minorHAnsi" w:cstheme="minorHAnsi"/>
          <w:color w:val="0F1111"/>
          <w:shd w:val="clear" w:color="auto" w:fill="FFFFFF"/>
        </w:rPr>
      </w:pPr>
      <w:r w:rsidRPr="001C232E">
        <w:rPr>
          <w:rFonts w:asciiTheme="minorHAnsi" w:hAnsiTheme="minorHAnsi" w:cstheme="minorHAnsi"/>
          <w:b/>
          <w:bCs/>
          <w:color w:val="0F1111"/>
          <w:u w:val="single"/>
          <w:shd w:val="clear" w:color="auto" w:fill="FFFFFF"/>
        </w:rPr>
        <w:t>Common Elements</w:t>
      </w:r>
    </w:p>
    <w:p w14:paraId="632E4D9F" w14:textId="77777777" w:rsidR="00E239B4" w:rsidRDefault="00E239B4" w:rsidP="00E239B4">
      <w:pPr>
        <w:rPr>
          <w:rFonts w:asciiTheme="minorHAnsi" w:hAnsiTheme="minorHAnsi" w:cstheme="minorHAnsi"/>
          <w:color w:val="0F1111"/>
          <w:shd w:val="clear" w:color="auto" w:fill="FFFFFF"/>
        </w:rPr>
      </w:pPr>
      <w:r w:rsidRPr="001C232E">
        <w:rPr>
          <w:rFonts w:asciiTheme="minorHAnsi" w:hAnsiTheme="minorHAnsi" w:cstheme="minorHAnsi"/>
          <w:color w:val="0F1111"/>
          <w:shd w:val="clear" w:color="auto" w:fill="FFFFFF"/>
        </w:rPr>
        <w:t>All citation styles have certain things in common. They exist to help your readers identify and find your sources. Regardless of style, you will need the following: </w:t>
      </w:r>
    </w:p>
    <w:p w14:paraId="0264C4CD" w14:textId="77777777" w:rsidR="00E239B4" w:rsidRPr="001C232E" w:rsidRDefault="00E239B4" w:rsidP="00E239B4">
      <w:pPr>
        <w:rPr>
          <w:rFonts w:asciiTheme="minorHAnsi" w:hAnsiTheme="minorHAnsi" w:cstheme="minorHAnsi"/>
          <w:color w:val="0F1111"/>
          <w:shd w:val="clear" w:color="auto" w:fill="FFFFFF"/>
        </w:rPr>
      </w:pPr>
    </w:p>
    <w:p w14:paraId="6EDE9F7F" w14:textId="77777777" w:rsidR="00E239B4" w:rsidRPr="001C232E" w:rsidRDefault="00E239B4" w:rsidP="00E239B4">
      <w:pPr>
        <w:numPr>
          <w:ilvl w:val="0"/>
          <w:numId w:val="7"/>
        </w:numPr>
        <w:rPr>
          <w:rFonts w:asciiTheme="minorHAnsi" w:hAnsiTheme="minorHAnsi" w:cstheme="minorHAnsi"/>
          <w:color w:val="0F1111"/>
          <w:shd w:val="clear" w:color="auto" w:fill="FFFFFF"/>
        </w:rPr>
      </w:pPr>
      <w:r w:rsidRPr="001C232E">
        <w:rPr>
          <w:rFonts w:asciiTheme="minorHAnsi" w:hAnsiTheme="minorHAnsi" w:cstheme="minorHAnsi"/>
          <w:color w:val="0F1111"/>
          <w:shd w:val="clear" w:color="auto" w:fill="FFFFFF"/>
        </w:rPr>
        <w:t>Author's name</w:t>
      </w:r>
    </w:p>
    <w:p w14:paraId="6D99BFBA" w14:textId="77777777" w:rsidR="00E239B4" w:rsidRPr="001C232E" w:rsidRDefault="00E239B4" w:rsidP="00E239B4">
      <w:pPr>
        <w:numPr>
          <w:ilvl w:val="0"/>
          <w:numId w:val="7"/>
        </w:numPr>
        <w:rPr>
          <w:rFonts w:asciiTheme="minorHAnsi" w:hAnsiTheme="minorHAnsi" w:cstheme="minorHAnsi"/>
          <w:color w:val="0F1111"/>
          <w:shd w:val="clear" w:color="auto" w:fill="FFFFFF"/>
        </w:rPr>
      </w:pPr>
      <w:r w:rsidRPr="001C232E">
        <w:rPr>
          <w:rFonts w:asciiTheme="minorHAnsi" w:hAnsiTheme="minorHAnsi" w:cstheme="minorHAnsi"/>
          <w:color w:val="0F1111"/>
          <w:shd w:val="clear" w:color="auto" w:fill="FFFFFF"/>
        </w:rPr>
        <w:t>Title of the text</w:t>
      </w:r>
    </w:p>
    <w:p w14:paraId="3E5D2567" w14:textId="77777777" w:rsidR="00E239B4" w:rsidRPr="001C232E" w:rsidRDefault="00E239B4" w:rsidP="00E239B4">
      <w:pPr>
        <w:numPr>
          <w:ilvl w:val="0"/>
          <w:numId w:val="7"/>
        </w:numPr>
        <w:rPr>
          <w:rFonts w:asciiTheme="minorHAnsi" w:hAnsiTheme="minorHAnsi" w:cstheme="minorHAnsi"/>
          <w:color w:val="0F1111"/>
          <w:shd w:val="clear" w:color="auto" w:fill="FFFFFF"/>
        </w:rPr>
      </w:pPr>
      <w:r w:rsidRPr="001C232E">
        <w:rPr>
          <w:rFonts w:asciiTheme="minorHAnsi" w:hAnsiTheme="minorHAnsi" w:cstheme="minorHAnsi"/>
          <w:color w:val="0F1111"/>
          <w:shd w:val="clear" w:color="auto" w:fill="FFFFFF"/>
        </w:rPr>
        <w:t>Publisher</w:t>
      </w:r>
    </w:p>
    <w:p w14:paraId="1670AA60" w14:textId="77777777" w:rsidR="00E239B4" w:rsidRPr="001C232E" w:rsidRDefault="00E239B4" w:rsidP="00E239B4">
      <w:pPr>
        <w:numPr>
          <w:ilvl w:val="0"/>
          <w:numId w:val="7"/>
        </w:numPr>
        <w:rPr>
          <w:rFonts w:asciiTheme="minorHAnsi" w:hAnsiTheme="minorHAnsi" w:cstheme="minorHAnsi"/>
          <w:color w:val="0F1111"/>
          <w:shd w:val="clear" w:color="auto" w:fill="FFFFFF"/>
        </w:rPr>
      </w:pPr>
      <w:r w:rsidRPr="001C232E">
        <w:rPr>
          <w:rFonts w:asciiTheme="minorHAnsi" w:hAnsiTheme="minorHAnsi" w:cstheme="minorHAnsi"/>
          <w:color w:val="0F1111"/>
          <w:shd w:val="clear" w:color="auto" w:fill="FFFFFF"/>
        </w:rPr>
        <w:t>Publisher's location</w:t>
      </w:r>
    </w:p>
    <w:p w14:paraId="7B44E310" w14:textId="77777777" w:rsidR="00E239B4" w:rsidRDefault="00E239B4" w:rsidP="00E239B4">
      <w:pPr>
        <w:numPr>
          <w:ilvl w:val="0"/>
          <w:numId w:val="7"/>
        </w:numPr>
        <w:rPr>
          <w:rFonts w:asciiTheme="minorHAnsi" w:hAnsiTheme="minorHAnsi" w:cstheme="minorHAnsi"/>
          <w:color w:val="0F1111"/>
          <w:shd w:val="clear" w:color="auto" w:fill="FFFFFF"/>
        </w:rPr>
      </w:pPr>
      <w:r w:rsidRPr="001C232E">
        <w:rPr>
          <w:rFonts w:asciiTheme="minorHAnsi" w:hAnsiTheme="minorHAnsi" w:cstheme="minorHAnsi"/>
          <w:color w:val="0F1111"/>
          <w:shd w:val="clear" w:color="auto" w:fill="FFFFFF"/>
        </w:rPr>
        <w:t>Date of publication</w:t>
      </w:r>
    </w:p>
    <w:p w14:paraId="1CC7D3E0" w14:textId="77777777" w:rsidR="00E239B4" w:rsidRPr="001C232E" w:rsidRDefault="00E239B4" w:rsidP="00E239B4">
      <w:pPr>
        <w:ind w:left="720"/>
        <w:rPr>
          <w:rFonts w:asciiTheme="minorHAnsi" w:hAnsiTheme="minorHAnsi" w:cstheme="minorHAnsi"/>
          <w:color w:val="0F1111"/>
          <w:shd w:val="clear" w:color="auto" w:fill="FFFFFF"/>
        </w:rPr>
      </w:pPr>
    </w:p>
    <w:p w14:paraId="391803FA" w14:textId="77777777" w:rsidR="00E239B4" w:rsidRPr="0012274A" w:rsidRDefault="00E239B4" w:rsidP="00E239B4">
      <w:pPr>
        <w:rPr>
          <w:rFonts w:asciiTheme="minorHAnsi" w:hAnsiTheme="minorHAnsi" w:cstheme="minorHAnsi"/>
          <w:color w:val="0F1111"/>
          <w:shd w:val="clear" w:color="auto" w:fill="FFFFFF"/>
        </w:rPr>
      </w:pPr>
      <w:r w:rsidRPr="0012274A">
        <w:rPr>
          <w:rFonts w:asciiTheme="minorHAnsi" w:hAnsiTheme="minorHAnsi" w:cstheme="minorHAnsi"/>
          <w:color w:val="0F1111"/>
          <w:shd w:val="clear" w:color="auto" w:fill="FFFFFF"/>
        </w:rPr>
        <w:t>TKC academic papers principally follow Kate L. Turabian, A Manual for Writers of Term Papers, Theses, and Dissertations: Chicago Style for Students and Researchers, 9th ed. (Chicago: The University of Chicago Press, 2018). Please order this text at the beginning of your time with TKC.</w:t>
      </w:r>
    </w:p>
    <w:p w14:paraId="695D7239" w14:textId="77777777" w:rsidR="00E239B4" w:rsidRDefault="00E239B4" w:rsidP="00E239B4">
      <w:pPr>
        <w:rPr>
          <w:rFonts w:asciiTheme="minorHAnsi" w:hAnsiTheme="minorHAnsi" w:cstheme="minorHAnsi"/>
          <w:color w:val="0F1111"/>
          <w:shd w:val="clear" w:color="auto" w:fill="FFFFFF"/>
        </w:rPr>
      </w:pPr>
    </w:p>
    <w:p w14:paraId="40F3DDD5" w14:textId="77777777" w:rsidR="00E239B4" w:rsidRDefault="00E239B4" w:rsidP="00E239B4">
      <w:pPr>
        <w:rPr>
          <w:rFonts w:asciiTheme="minorHAnsi" w:hAnsiTheme="minorHAnsi" w:cstheme="minorHAnsi"/>
          <w:color w:val="0F1111"/>
          <w:shd w:val="clear" w:color="auto" w:fill="FFFFFF"/>
        </w:rPr>
      </w:pPr>
      <w:r>
        <w:rPr>
          <w:rFonts w:asciiTheme="minorHAnsi" w:hAnsiTheme="minorHAnsi" w:cstheme="minorHAnsi"/>
          <w:color w:val="0F1111"/>
          <w:shd w:val="clear" w:color="auto" w:fill="FFFFFF"/>
        </w:rPr>
        <w:br w:type="page"/>
      </w:r>
    </w:p>
    <w:p w14:paraId="66920826" w14:textId="77777777" w:rsidR="00E239B4" w:rsidRPr="0012274A" w:rsidRDefault="00E239B4" w:rsidP="00E239B4">
      <w:pPr>
        <w:rPr>
          <w:rFonts w:asciiTheme="minorHAnsi" w:hAnsiTheme="minorHAnsi" w:cstheme="minorHAnsi"/>
          <w:color w:val="0F1111"/>
          <w:sz w:val="32"/>
          <w:szCs w:val="32"/>
          <w:shd w:val="clear" w:color="auto" w:fill="FFFFFF"/>
        </w:rPr>
      </w:pPr>
      <w:r w:rsidRPr="0012274A">
        <w:rPr>
          <w:rFonts w:asciiTheme="minorHAnsi" w:hAnsiTheme="minorHAnsi" w:cstheme="minorHAnsi"/>
          <w:color w:val="0F1111"/>
          <w:sz w:val="32"/>
          <w:szCs w:val="32"/>
          <w:shd w:val="clear" w:color="auto" w:fill="FFFFFF"/>
        </w:rPr>
        <w:lastRenderedPageBreak/>
        <w:t>ACADEMIC THESIS AND DISSERTATIONS:</w:t>
      </w:r>
    </w:p>
    <w:p w14:paraId="0B4F767F" w14:textId="77777777" w:rsidR="00E239B4" w:rsidRPr="0012274A" w:rsidRDefault="00E239B4" w:rsidP="00E239B4">
      <w:pPr>
        <w:rPr>
          <w:rFonts w:asciiTheme="minorHAnsi" w:hAnsiTheme="minorHAnsi" w:cstheme="minorHAnsi"/>
          <w:color w:val="0F1111"/>
          <w:shd w:val="clear" w:color="auto" w:fill="FFFFFF"/>
        </w:rPr>
      </w:pPr>
    </w:p>
    <w:p w14:paraId="02818DB4" w14:textId="77777777" w:rsidR="00E239B4" w:rsidRDefault="00E239B4" w:rsidP="00E239B4">
      <w:pPr>
        <w:rPr>
          <w:rFonts w:asciiTheme="minorHAnsi" w:hAnsiTheme="minorHAnsi" w:cstheme="minorHAnsi"/>
          <w:color w:val="0F1111"/>
          <w:shd w:val="clear" w:color="auto" w:fill="FFFFFF"/>
        </w:rPr>
      </w:pPr>
      <w:r w:rsidRPr="0012274A">
        <w:rPr>
          <w:rFonts w:asciiTheme="minorHAnsi" w:hAnsiTheme="minorHAnsi" w:cstheme="minorHAnsi"/>
          <w:color w:val="0F1111"/>
          <w:shd w:val="clear" w:color="auto" w:fill="FFFFFF"/>
        </w:rPr>
        <w:t xml:space="preserve">• All pages should be </w:t>
      </w:r>
      <w:r>
        <w:rPr>
          <w:rFonts w:asciiTheme="minorHAnsi" w:hAnsiTheme="minorHAnsi" w:cstheme="minorHAnsi"/>
          <w:color w:val="0F1111"/>
          <w:shd w:val="clear" w:color="auto" w:fill="FFFFFF"/>
        </w:rPr>
        <w:t xml:space="preserve">set to the standard </w:t>
      </w:r>
      <w:r w:rsidRPr="0012274A">
        <w:rPr>
          <w:rFonts w:asciiTheme="minorHAnsi" w:hAnsiTheme="minorHAnsi" w:cstheme="minorHAnsi"/>
          <w:color w:val="0F1111"/>
          <w:shd w:val="clear" w:color="auto" w:fill="FFFFFF"/>
        </w:rPr>
        <w:t xml:space="preserve">8.5 x 11 inches. </w:t>
      </w:r>
    </w:p>
    <w:p w14:paraId="3F25E245" w14:textId="77777777" w:rsidR="00E239B4" w:rsidRDefault="00E239B4" w:rsidP="00E239B4">
      <w:pPr>
        <w:rPr>
          <w:rFonts w:asciiTheme="minorHAnsi" w:hAnsiTheme="minorHAnsi" w:cstheme="minorHAnsi"/>
          <w:color w:val="0F1111"/>
          <w:shd w:val="clear" w:color="auto" w:fill="FFFFFF"/>
        </w:rPr>
      </w:pPr>
      <w:r w:rsidRPr="0012274A">
        <w:rPr>
          <w:rFonts w:asciiTheme="minorHAnsi" w:hAnsiTheme="minorHAnsi" w:cstheme="minorHAnsi"/>
          <w:color w:val="0F1111"/>
          <w:shd w:val="clear" w:color="auto" w:fill="FFFFFF"/>
        </w:rPr>
        <w:t xml:space="preserve">• </w:t>
      </w:r>
      <w:r>
        <w:rPr>
          <w:rFonts w:asciiTheme="minorHAnsi" w:hAnsiTheme="minorHAnsi" w:cstheme="minorHAnsi"/>
          <w:color w:val="0F1111"/>
          <w:shd w:val="clear" w:color="auto" w:fill="FFFFFF"/>
        </w:rPr>
        <w:t>The</w:t>
      </w:r>
      <w:r w:rsidRPr="0012274A">
        <w:rPr>
          <w:rFonts w:asciiTheme="minorHAnsi" w:hAnsiTheme="minorHAnsi" w:cstheme="minorHAnsi"/>
          <w:color w:val="0F1111"/>
          <w:shd w:val="clear" w:color="auto" w:fill="FFFFFF"/>
        </w:rPr>
        <w:t xml:space="preserve"> document should be double-spaced</w:t>
      </w:r>
      <w:r>
        <w:rPr>
          <w:rFonts w:asciiTheme="minorHAnsi" w:hAnsiTheme="minorHAnsi" w:cstheme="minorHAnsi"/>
          <w:color w:val="0F1111"/>
          <w:shd w:val="clear" w:color="auto" w:fill="FFFFFF"/>
        </w:rPr>
        <w:t xml:space="preserve"> in 8.5x11 format</w:t>
      </w:r>
      <w:r w:rsidRPr="0012274A">
        <w:rPr>
          <w:rFonts w:asciiTheme="minorHAnsi" w:hAnsiTheme="minorHAnsi" w:cstheme="minorHAnsi"/>
          <w:color w:val="0F1111"/>
          <w:shd w:val="clear" w:color="auto" w:fill="FFFFFF"/>
        </w:rPr>
        <w:t>, and the footnotes should be single-spaced</w:t>
      </w:r>
      <w:r>
        <w:rPr>
          <w:rFonts w:asciiTheme="minorHAnsi" w:hAnsiTheme="minorHAnsi" w:cstheme="minorHAnsi"/>
          <w:color w:val="0F1111"/>
          <w:shd w:val="clear" w:color="auto" w:fill="FFFFFF"/>
        </w:rPr>
        <w:t>.</w:t>
      </w:r>
    </w:p>
    <w:p w14:paraId="2B664D88" w14:textId="77777777" w:rsidR="00E239B4" w:rsidRDefault="00E239B4" w:rsidP="00E239B4">
      <w:pPr>
        <w:rPr>
          <w:rFonts w:asciiTheme="minorHAnsi" w:hAnsiTheme="minorHAnsi" w:cstheme="minorHAnsi"/>
          <w:color w:val="0F1111"/>
          <w:shd w:val="clear" w:color="auto" w:fill="FFFFFF"/>
        </w:rPr>
      </w:pPr>
      <w:r w:rsidRPr="0012274A">
        <w:rPr>
          <w:rFonts w:asciiTheme="minorHAnsi" w:hAnsiTheme="minorHAnsi" w:cstheme="minorHAnsi"/>
          <w:color w:val="0F1111"/>
          <w:shd w:val="clear" w:color="auto" w:fill="FFFFFF"/>
        </w:rPr>
        <w:t>• The customary font for Turabian papers is Times New Roman</w:t>
      </w:r>
    </w:p>
    <w:p w14:paraId="0EB92A6F" w14:textId="77777777" w:rsidR="00E239B4" w:rsidRDefault="00E239B4" w:rsidP="00E239B4">
      <w:pPr>
        <w:rPr>
          <w:rFonts w:asciiTheme="minorHAnsi" w:hAnsiTheme="minorHAnsi" w:cstheme="minorHAnsi"/>
          <w:color w:val="0F1111"/>
          <w:shd w:val="clear" w:color="auto" w:fill="FFFFFF"/>
        </w:rPr>
      </w:pPr>
      <w:r w:rsidRPr="0012274A">
        <w:rPr>
          <w:rFonts w:asciiTheme="minorHAnsi" w:hAnsiTheme="minorHAnsi" w:cstheme="minorHAnsi"/>
          <w:color w:val="0F1111"/>
          <w:shd w:val="clear" w:color="auto" w:fill="FFFFFF"/>
        </w:rPr>
        <w:t xml:space="preserve">• Unless otherwise indicated in the instructions below, the font size should be 12 points. Hebrew and Greek fonts may need to be adjusted to match the size of the surrounding English font. </w:t>
      </w:r>
    </w:p>
    <w:p w14:paraId="709D977F" w14:textId="77777777" w:rsidR="00E239B4" w:rsidRDefault="00E239B4" w:rsidP="00E239B4">
      <w:pPr>
        <w:rPr>
          <w:rFonts w:asciiTheme="minorHAnsi" w:hAnsiTheme="minorHAnsi" w:cstheme="minorHAnsi"/>
          <w:color w:val="0F1111"/>
          <w:shd w:val="clear" w:color="auto" w:fill="FFFFFF"/>
        </w:rPr>
      </w:pPr>
      <w:r w:rsidRPr="0012274A">
        <w:rPr>
          <w:rFonts w:asciiTheme="minorHAnsi" w:hAnsiTheme="minorHAnsi" w:cstheme="minorHAnsi"/>
          <w:color w:val="0F1111"/>
          <w:shd w:val="clear" w:color="auto" w:fill="FFFFFF"/>
        </w:rPr>
        <w:t xml:space="preserve">• Indent each paragraph one-half inch. </w:t>
      </w:r>
    </w:p>
    <w:p w14:paraId="68C9E5A9" w14:textId="77777777" w:rsidR="00E239B4" w:rsidRDefault="00E239B4" w:rsidP="00E239B4">
      <w:pPr>
        <w:rPr>
          <w:rFonts w:asciiTheme="minorHAnsi" w:hAnsiTheme="minorHAnsi" w:cstheme="minorHAnsi"/>
          <w:color w:val="0F1111"/>
          <w:shd w:val="clear" w:color="auto" w:fill="FFFFFF"/>
        </w:rPr>
      </w:pPr>
      <w:r w:rsidRPr="0012274A">
        <w:rPr>
          <w:rFonts w:asciiTheme="minorHAnsi" w:hAnsiTheme="minorHAnsi" w:cstheme="minorHAnsi"/>
          <w:color w:val="0F1111"/>
          <w:shd w:val="clear" w:color="auto" w:fill="FFFFFF"/>
        </w:rPr>
        <w:t xml:space="preserve">• Each paragraph must have at least two sentences. A two-sentence paragraph would be rare but may be used for some purposes such as introducing a section of a paper. In general, however, a paragraph should have at least three and preferably more sentences. The upper limit of a paragraph would be approximately one page. • Use the serial or Oxford comma, placed immediately before the coordinating conjunction in a series of three or more elements. </w:t>
      </w:r>
    </w:p>
    <w:p w14:paraId="247C6E6C" w14:textId="77777777" w:rsidR="00E239B4" w:rsidRDefault="00E239B4" w:rsidP="00E239B4">
      <w:pPr>
        <w:rPr>
          <w:rFonts w:asciiTheme="minorHAnsi" w:hAnsiTheme="minorHAnsi" w:cstheme="minorHAnsi"/>
          <w:color w:val="0F1111"/>
          <w:shd w:val="clear" w:color="auto" w:fill="FFFFFF"/>
        </w:rPr>
      </w:pPr>
      <w:r w:rsidRPr="0012274A">
        <w:rPr>
          <w:rFonts w:asciiTheme="minorHAnsi" w:hAnsiTheme="minorHAnsi" w:cstheme="minorHAnsi"/>
          <w:color w:val="0F1111"/>
          <w:shd w:val="clear" w:color="auto" w:fill="FFFFFF"/>
        </w:rPr>
        <w:t xml:space="preserve">• </w:t>
      </w:r>
      <w:r>
        <w:rPr>
          <w:rFonts w:asciiTheme="minorHAnsi" w:hAnsiTheme="minorHAnsi" w:cstheme="minorHAnsi"/>
          <w:color w:val="0F1111"/>
          <w:shd w:val="clear" w:color="auto" w:fill="FFFFFF"/>
        </w:rPr>
        <w:t>Although digital citing is becoming more accepted, if possible do</w:t>
      </w:r>
      <w:r w:rsidRPr="0012274A">
        <w:rPr>
          <w:rFonts w:asciiTheme="minorHAnsi" w:hAnsiTheme="minorHAnsi" w:cstheme="minorHAnsi"/>
          <w:color w:val="0F1111"/>
          <w:shd w:val="clear" w:color="auto" w:fill="FFFFFF"/>
        </w:rPr>
        <w:t xml:space="preserve"> not cite a source according to Kindle location or other digital information. Locate and provide the print-version page number. If you are unable to locate the print version, see the guidelines in Turabian 9, § 17.1.10. </w:t>
      </w:r>
    </w:p>
    <w:p w14:paraId="54A4D989" w14:textId="77777777" w:rsidR="00E239B4" w:rsidRDefault="00E239B4" w:rsidP="00E239B4">
      <w:pPr>
        <w:rPr>
          <w:rFonts w:asciiTheme="minorHAnsi" w:hAnsiTheme="minorHAnsi" w:cstheme="minorHAnsi"/>
          <w:color w:val="0F1111"/>
          <w:shd w:val="clear" w:color="auto" w:fill="FFFFFF"/>
        </w:rPr>
      </w:pPr>
      <w:r w:rsidRPr="0012274A">
        <w:rPr>
          <w:rFonts w:asciiTheme="minorHAnsi" w:hAnsiTheme="minorHAnsi" w:cstheme="minorHAnsi"/>
          <w:color w:val="0F1111"/>
          <w:shd w:val="clear" w:color="auto" w:fill="FFFFFF"/>
        </w:rPr>
        <w:t xml:space="preserve">• If an online source is an identical reproduction of a print version (e.g., a journal with the original page numbers or a scan of a book on Google Books), do not include the URL. Include the URL only if the online source differs from the print version. </w:t>
      </w:r>
    </w:p>
    <w:p w14:paraId="533A2E5E" w14:textId="77777777" w:rsidR="00E239B4" w:rsidRDefault="00E239B4" w:rsidP="00E239B4">
      <w:pPr>
        <w:rPr>
          <w:rFonts w:asciiTheme="minorHAnsi" w:hAnsiTheme="minorHAnsi" w:cstheme="minorHAnsi"/>
          <w:color w:val="0F1111"/>
          <w:shd w:val="clear" w:color="auto" w:fill="FFFFFF"/>
        </w:rPr>
      </w:pPr>
      <w:r w:rsidRPr="0012274A">
        <w:rPr>
          <w:rFonts w:asciiTheme="minorHAnsi" w:hAnsiTheme="minorHAnsi" w:cstheme="minorHAnsi"/>
          <w:color w:val="0F1111"/>
          <w:shd w:val="clear" w:color="auto" w:fill="FFFFFF"/>
        </w:rPr>
        <w:t xml:space="preserve">• </w:t>
      </w:r>
      <w:r>
        <w:rPr>
          <w:rFonts w:asciiTheme="minorHAnsi" w:hAnsiTheme="minorHAnsi" w:cstheme="minorHAnsi"/>
          <w:color w:val="0F1111"/>
          <w:shd w:val="clear" w:color="auto" w:fill="FFFFFF"/>
        </w:rPr>
        <w:t>In scholarly works it is most common to NOT</w:t>
      </w:r>
      <w:r w:rsidRPr="0012274A">
        <w:rPr>
          <w:rFonts w:asciiTheme="minorHAnsi" w:hAnsiTheme="minorHAnsi" w:cstheme="minorHAnsi"/>
          <w:color w:val="0F1111"/>
          <w:shd w:val="clear" w:color="auto" w:fill="FFFFFF"/>
        </w:rPr>
        <w:t xml:space="preserve"> capitalize pronouns referring to deity</w:t>
      </w:r>
      <w:r>
        <w:rPr>
          <w:rFonts w:asciiTheme="minorHAnsi" w:hAnsiTheme="minorHAnsi" w:cstheme="minorHAnsi"/>
          <w:color w:val="0F1111"/>
          <w:shd w:val="clear" w:color="auto" w:fill="FFFFFF"/>
        </w:rPr>
        <w:t xml:space="preserve">; </w:t>
      </w:r>
      <w:proofErr w:type="gramStart"/>
      <w:r>
        <w:rPr>
          <w:rFonts w:asciiTheme="minorHAnsi" w:hAnsiTheme="minorHAnsi" w:cstheme="minorHAnsi"/>
          <w:color w:val="0F1111"/>
          <w:shd w:val="clear" w:color="auto" w:fill="FFFFFF"/>
        </w:rPr>
        <w:t>however</w:t>
      </w:r>
      <w:proofErr w:type="gramEnd"/>
      <w:r>
        <w:rPr>
          <w:rFonts w:asciiTheme="minorHAnsi" w:hAnsiTheme="minorHAnsi" w:cstheme="minorHAnsi"/>
          <w:color w:val="0F1111"/>
          <w:shd w:val="clear" w:color="auto" w:fill="FFFFFF"/>
        </w:rPr>
        <w:t xml:space="preserve"> TKC leaves this up to the authors. </w:t>
      </w:r>
    </w:p>
    <w:p w14:paraId="7A119E91" w14:textId="77777777" w:rsidR="00E239B4" w:rsidRDefault="00E239B4" w:rsidP="00E239B4">
      <w:pPr>
        <w:rPr>
          <w:rFonts w:asciiTheme="minorHAnsi" w:hAnsiTheme="minorHAnsi" w:cstheme="minorHAnsi"/>
          <w:color w:val="0F1111"/>
          <w:shd w:val="clear" w:color="auto" w:fill="FFFFFF"/>
        </w:rPr>
      </w:pPr>
    </w:p>
    <w:p w14:paraId="10FD1963" w14:textId="77777777" w:rsidR="00E239B4" w:rsidRDefault="00E239B4" w:rsidP="00E239B4">
      <w:pPr>
        <w:rPr>
          <w:rFonts w:asciiTheme="minorHAnsi" w:hAnsiTheme="minorHAnsi" w:cstheme="minorHAnsi"/>
          <w:b/>
          <w:bCs/>
        </w:rPr>
      </w:pPr>
    </w:p>
    <w:p w14:paraId="58C3B66B" w14:textId="77777777" w:rsidR="00E239B4" w:rsidRDefault="00E239B4" w:rsidP="00E239B4">
      <w:pPr>
        <w:rPr>
          <w:rFonts w:asciiTheme="minorHAnsi" w:hAnsiTheme="minorHAnsi" w:cstheme="minorHAnsi"/>
          <w:b/>
          <w:bCs/>
        </w:rPr>
      </w:pPr>
      <w:r w:rsidRPr="00AD79D2">
        <w:rPr>
          <w:rFonts w:asciiTheme="minorHAnsi" w:hAnsiTheme="minorHAnsi" w:cstheme="minorHAnsi"/>
          <w:b/>
          <w:bCs/>
          <w:noProof/>
        </w:rPr>
        <w:drawing>
          <wp:inline distT="0" distB="0" distL="0" distR="0" wp14:anchorId="34755608" wp14:editId="147241AF">
            <wp:extent cx="6629400" cy="1738313"/>
            <wp:effectExtent l="0" t="0" r="0" b="0"/>
            <wp:docPr id="1234878434"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878434" name="Picture 1" descr="A close-up of a document&#10;&#10;AI-generated content may be incorrect."/>
                    <pic:cNvPicPr/>
                  </pic:nvPicPr>
                  <pic:blipFill rotWithShape="1">
                    <a:blip r:embed="rId9"/>
                    <a:srcRect l="3334" b="24876"/>
                    <a:stretch/>
                  </pic:blipFill>
                  <pic:spPr bwMode="auto">
                    <a:xfrm>
                      <a:off x="0" y="0"/>
                      <a:ext cx="6629400" cy="1738313"/>
                    </a:xfrm>
                    <a:prstGeom prst="rect">
                      <a:avLst/>
                    </a:prstGeom>
                    <a:ln>
                      <a:noFill/>
                    </a:ln>
                    <a:extLst>
                      <a:ext uri="{53640926-AAD7-44D8-BBD7-CCE9431645EC}">
                        <a14:shadowObscured xmlns:a14="http://schemas.microsoft.com/office/drawing/2010/main"/>
                      </a:ext>
                    </a:extLst>
                  </pic:spPr>
                </pic:pic>
              </a:graphicData>
            </a:graphic>
          </wp:inline>
        </w:drawing>
      </w:r>
    </w:p>
    <w:p w14:paraId="6739FD56" w14:textId="77777777" w:rsidR="00E239B4" w:rsidRPr="0012274A" w:rsidRDefault="00E239B4" w:rsidP="00E239B4">
      <w:pPr>
        <w:rPr>
          <w:rFonts w:asciiTheme="minorHAnsi" w:hAnsiTheme="minorHAnsi" w:cstheme="minorHAnsi"/>
          <w:b/>
          <w:bCs/>
        </w:rPr>
      </w:pPr>
      <w:r w:rsidRPr="00AD79D2">
        <w:rPr>
          <w:rFonts w:asciiTheme="minorHAnsi" w:hAnsiTheme="minorHAnsi" w:cstheme="minorHAnsi"/>
          <w:b/>
          <w:bCs/>
          <w:noProof/>
        </w:rPr>
        <w:drawing>
          <wp:inline distT="0" distB="0" distL="0" distR="0" wp14:anchorId="7E4E82B4" wp14:editId="24F93312">
            <wp:extent cx="6296071" cy="1695462"/>
            <wp:effectExtent l="0" t="0" r="9525" b="0"/>
            <wp:docPr id="1851785779" name="Picture 1" descr="A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785779" name="Picture 1" descr="A paper with black text&#10;&#10;AI-generated content may be incorrect."/>
                    <pic:cNvPicPr/>
                  </pic:nvPicPr>
                  <pic:blipFill>
                    <a:blip r:embed="rId10"/>
                    <a:stretch>
                      <a:fillRect/>
                    </a:stretch>
                  </pic:blipFill>
                  <pic:spPr>
                    <a:xfrm>
                      <a:off x="0" y="0"/>
                      <a:ext cx="6296071" cy="1695462"/>
                    </a:xfrm>
                    <a:prstGeom prst="rect">
                      <a:avLst/>
                    </a:prstGeom>
                  </pic:spPr>
                </pic:pic>
              </a:graphicData>
            </a:graphic>
          </wp:inline>
        </w:drawing>
      </w:r>
    </w:p>
    <w:p w14:paraId="2A7C65AA" w14:textId="77777777" w:rsidR="00E239B4" w:rsidRDefault="00E239B4">
      <w:pPr>
        <w:rPr>
          <w:rFonts w:asciiTheme="majorHAnsi" w:hAnsiTheme="majorHAnsi" w:cstheme="majorHAnsi"/>
          <w:b/>
          <w:bCs/>
        </w:rPr>
      </w:pPr>
    </w:p>
    <w:p w14:paraId="04FE48F6" w14:textId="7C77563F" w:rsidR="00E239B4" w:rsidRDefault="00E239B4">
      <w:pPr>
        <w:rPr>
          <w:rFonts w:asciiTheme="majorHAnsi" w:hAnsiTheme="majorHAnsi" w:cstheme="majorHAnsi"/>
          <w:b/>
          <w:bCs/>
        </w:rPr>
      </w:pPr>
      <w:r>
        <w:rPr>
          <w:rFonts w:asciiTheme="majorHAnsi" w:hAnsiTheme="majorHAnsi" w:cstheme="majorHAnsi"/>
          <w:b/>
          <w:bCs/>
        </w:rPr>
        <w:t xml:space="preserve">The following pages will serve as a template. You can simply start by “SAVING AS” this document with your name, deleting pages 1-3 and </w:t>
      </w:r>
      <w:r w:rsidR="009E6ECB">
        <w:rPr>
          <w:rFonts w:asciiTheme="majorHAnsi" w:hAnsiTheme="majorHAnsi" w:cstheme="majorHAnsi"/>
          <w:b/>
          <w:bCs/>
        </w:rPr>
        <w:t xml:space="preserve">using the sample as a template to begin your thesis. </w:t>
      </w:r>
      <w:r>
        <w:rPr>
          <w:rFonts w:asciiTheme="majorHAnsi" w:hAnsiTheme="majorHAnsi" w:cstheme="majorHAnsi"/>
          <w:b/>
          <w:bCs/>
        </w:rPr>
        <w:br w:type="page"/>
      </w:r>
    </w:p>
    <w:p w14:paraId="30FAEC9E" w14:textId="77777777" w:rsidR="00E239B4" w:rsidRDefault="00E239B4">
      <w:pPr>
        <w:rPr>
          <w:rFonts w:asciiTheme="majorHAnsi" w:hAnsiTheme="majorHAnsi" w:cstheme="majorHAnsi"/>
          <w:b/>
          <w:bCs/>
        </w:rPr>
      </w:pPr>
    </w:p>
    <w:p w14:paraId="5A4EF6B7" w14:textId="77777777" w:rsidR="006A3099" w:rsidRPr="000D5CB8" w:rsidRDefault="006A3099" w:rsidP="000D5CB8">
      <w:pPr>
        <w:jc w:val="center"/>
        <w:rPr>
          <w:rFonts w:asciiTheme="majorHAnsi" w:hAnsiTheme="majorHAnsi" w:cstheme="majorHAnsi"/>
          <w:b/>
          <w:bCs/>
        </w:rPr>
      </w:pPr>
    </w:p>
    <w:p w14:paraId="31748C3C" w14:textId="77777777" w:rsidR="006A3099" w:rsidRPr="000D5CB8" w:rsidRDefault="006A3099" w:rsidP="000D5CB8">
      <w:pPr>
        <w:jc w:val="center"/>
        <w:rPr>
          <w:rFonts w:asciiTheme="majorHAnsi" w:hAnsiTheme="majorHAnsi" w:cstheme="majorHAnsi"/>
          <w:b/>
          <w:bCs/>
        </w:rPr>
      </w:pPr>
    </w:p>
    <w:p w14:paraId="689A24F8" w14:textId="77777777" w:rsidR="006A3099" w:rsidRPr="000D5CB8" w:rsidRDefault="006A3099" w:rsidP="000D5CB8">
      <w:pPr>
        <w:jc w:val="center"/>
        <w:rPr>
          <w:rFonts w:asciiTheme="majorHAnsi" w:hAnsiTheme="majorHAnsi" w:cstheme="majorHAnsi"/>
          <w:b/>
          <w:bCs/>
        </w:rPr>
      </w:pPr>
    </w:p>
    <w:p w14:paraId="7C893DEB" w14:textId="4EA6342D" w:rsidR="006A3099" w:rsidRPr="000D5CB8" w:rsidRDefault="006A3099" w:rsidP="000D5CB8">
      <w:pPr>
        <w:jc w:val="center"/>
        <w:rPr>
          <w:rFonts w:asciiTheme="majorHAnsi" w:hAnsiTheme="majorHAnsi" w:cstheme="majorHAnsi"/>
          <w:b/>
          <w:bCs/>
        </w:rPr>
      </w:pPr>
    </w:p>
    <w:p w14:paraId="38195BEE" w14:textId="77777777" w:rsidR="006A3099" w:rsidRPr="000D5CB8" w:rsidRDefault="006A3099" w:rsidP="000D5CB8">
      <w:pPr>
        <w:jc w:val="center"/>
        <w:rPr>
          <w:rFonts w:asciiTheme="majorHAnsi" w:hAnsiTheme="majorHAnsi" w:cstheme="majorHAnsi"/>
          <w:b/>
          <w:bCs/>
        </w:rPr>
      </w:pPr>
    </w:p>
    <w:p w14:paraId="3FE8812B" w14:textId="77777777" w:rsidR="006A3099" w:rsidRPr="000D5CB8" w:rsidRDefault="006A3099" w:rsidP="000D5CB8">
      <w:pPr>
        <w:rPr>
          <w:rFonts w:asciiTheme="majorHAnsi" w:hAnsiTheme="majorHAnsi" w:cstheme="majorHAnsi"/>
          <w:b/>
          <w:bCs/>
        </w:rPr>
      </w:pPr>
      <w:r w:rsidRPr="000D5CB8">
        <w:rPr>
          <w:rFonts w:asciiTheme="majorHAnsi" w:hAnsiTheme="majorHAnsi" w:cstheme="majorHAnsi"/>
          <w:b/>
          <w:bCs/>
        </w:rPr>
        <w:br w:type="page"/>
      </w:r>
    </w:p>
    <w:p w14:paraId="1E4602E7" w14:textId="55B021F1" w:rsidR="006A3099" w:rsidRPr="000D5CB8" w:rsidRDefault="006A3099" w:rsidP="000D5CB8">
      <w:pPr>
        <w:rPr>
          <w:rFonts w:asciiTheme="majorHAnsi" w:hAnsiTheme="majorHAnsi" w:cstheme="majorHAnsi"/>
          <w:b/>
        </w:rPr>
      </w:pPr>
    </w:p>
    <w:p w14:paraId="6B70363C" w14:textId="77777777" w:rsidR="005E23AC" w:rsidRPr="000D5CB8" w:rsidRDefault="005E23AC" w:rsidP="000D5CB8">
      <w:pPr>
        <w:jc w:val="center"/>
        <w:rPr>
          <w:rFonts w:asciiTheme="majorHAnsi" w:hAnsiTheme="majorHAnsi" w:cstheme="majorHAnsi"/>
          <w:b/>
        </w:rPr>
      </w:pPr>
    </w:p>
    <w:p w14:paraId="7EEA25D7" w14:textId="77777777" w:rsidR="005E23AC" w:rsidRPr="000D5CB8" w:rsidRDefault="005E23AC" w:rsidP="000D5CB8">
      <w:pPr>
        <w:jc w:val="center"/>
        <w:rPr>
          <w:rFonts w:asciiTheme="majorHAnsi" w:hAnsiTheme="majorHAnsi" w:cstheme="majorHAnsi"/>
          <w:b/>
        </w:rPr>
      </w:pPr>
    </w:p>
    <w:p w14:paraId="45843210" w14:textId="77777777" w:rsidR="005A0B90" w:rsidRPr="000D5CB8" w:rsidRDefault="006A3099" w:rsidP="000D5CB8">
      <w:pPr>
        <w:jc w:val="center"/>
        <w:rPr>
          <w:rFonts w:asciiTheme="majorHAnsi" w:eastAsia="Times New Roman" w:hAnsiTheme="majorHAnsi" w:cstheme="majorHAnsi"/>
          <w:b/>
        </w:rPr>
      </w:pPr>
      <w:r w:rsidRPr="000D5CB8">
        <w:rPr>
          <w:rFonts w:asciiTheme="majorHAnsi" w:eastAsia="Times New Roman" w:hAnsiTheme="majorHAnsi" w:cstheme="majorHAnsi"/>
          <w:b/>
        </w:rPr>
        <w:t>PRINCIPALITIES, POWERS, AND ALLEGIANCES</w:t>
      </w:r>
    </w:p>
    <w:p w14:paraId="77BAA5B5" w14:textId="3B97B193" w:rsidR="005E23AC" w:rsidRPr="000D5CB8" w:rsidRDefault="006A3099" w:rsidP="000D5CB8">
      <w:pPr>
        <w:jc w:val="center"/>
        <w:rPr>
          <w:rFonts w:asciiTheme="majorHAnsi" w:eastAsia="Times New Roman" w:hAnsiTheme="majorHAnsi" w:cstheme="majorHAnsi"/>
          <w:b/>
        </w:rPr>
      </w:pPr>
      <w:r w:rsidRPr="000D5CB8">
        <w:rPr>
          <w:rFonts w:asciiTheme="majorHAnsi" w:eastAsia="Times New Roman" w:hAnsiTheme="majorHAnsi" w:cstheme="majorHAnsi"/>
          <w:b/>
        </w:rPr>
        <w:t xml:space="preserve"> </w:t>
      </w:r>
    </w:p>
    <w:p w14:paraId="4E7413A7" w14:textId="77777777" w:rsidR="005E23AC" w:rsidRPr="000D5CB8" w:rsidRDefault="006A3099" w:rsidP="000D5CB8">
      <w:pPr>
        <w:jc w:val="center"/>
        <w:rPr>
          <w:rFonts w:asciiTheme="majorHAnsi" w:eastAsia="Times New Roman" w:hAnsiTheme="majorHAnsi" w:cstheme="majorHAnsi"/>
          <w:b/>
        </w:rPr>
      </w:pPr>
      <w:r w:rsidRPr="000D5CB8">
        <w:rPr>
          <w:rFonts w:asciiTheme="majorHAnsi" w:eastAsia="Times New Roman" w:hAnsiTheme="majorHAnsi" w:cstheme="majorHAnsi"/>
          <w:b/>
        </w:rPr>
        <w:t xml:space="preserve">Interpreting Romans 13:1-7, 1 Peter 2:13-17, and Revelation 13 </w:t>
      </w:r>
    </w:p>
    <w:p w14:paraId="5622D418" w14:textId="77777777" w:rsidR="005E23AC" w:rsidRPr="000D5CB8" w:rsidRDefault="006A3099" w:rsidP="000D5CB8">
      <w:pPr>
        <w:jc w:val="center"/>
        <w:rPr>
          <w:rFonts w:asciiTheme="majorHAnsi" w:eastAsia="Times New Roman" w:hAnsiTheme="majorHAnsi" w:cstheme="majorHAnsi"/>
          <w:b/>
        </w:rPr>
      </w:pPr>
      <w:r w:rsidRPr="000D5CB8">
        <w:rPr>
          <w:rFonts w:asciiTheme="majorHAnsi" w:eastAsia="Times New Roman" w:hAnsiTheme="majorHAnsi" w:cstheme="majorHAnsi"/>
          <w:b/>
        </w:rPr>
        <w:t>within a Deuteronomy 32 Worldview</w:t>
      </w:r>
    </w:p>
    <w:p w14:paraId="112F822D" w14:textId="77777777" w:rsidR="005E23AC" w:rsidRPr="000D5CB8" w:rsidRDefault="005E23AC" w:rsidP="000D5CB8">
      <w:pPr>
        <w:jc w:val="center"/>
        <w:rPr>
          <w:rFonts w:asciiTheme="majorHAnsi" w:eastAsia="Times New Roman" w:hAnsiTheme="majorHAnsi" w:cstheme="majorHAnsi"/>
          <w:b/>
        </w:rPr>
      </w:pPr>
    </w:p>
    <w:p w14:paraId="66A1A993" w14:textId="77777777" w:rsidR="005E23AC" w:rsidRPr="000D5CB8" w:rsidRDefault="005E23AC" w:rsidP="000D5CB8">
      <w:pPr>
        <w:jc w:val="center"/>
        <w:rPr>
          <w:rFonts w:asciiTheme="majorHAnsi" w:eastAsia="Times New Roman" w:hAnsiTheme="majorHAnsi" w:cstheme="majorHAnsi"/>
          <w:b/>
        </w:rPr>
      </w:pPr>
    </w:p>
    <w:p w14:paraId="62F35334" w14:textId="77777777" w:rsidR="005E23AC" w:rsidRPr="000D5CB8" w:rsidRDefault="005E23AC" w:rsidP="000D5CB8">
      <w:pPr>
        <w:jc w:val="center"/>
        <w:rPr>
          <w:rFonts w:asciiTheme="majorHAnsi" w:eastAsia="Times New Roman" w:hAnsiTheme="majorHAnsi" w:cstheme="majorHAnsi"/>
          <w:b/>
        </w:rPr>
      </w:pPr>
    </w:p>
    <w:p w14:paraId="2BCBD3D3" w14:textId="77777777" w:rsidR="005E23AC" w:rsidRPr="000D5CB8" w:rsidRDefault="005E23AC" w:rsidP="000D5CB8">
      <w:pPr>
        <w:jc w:val="center"/>
        <w:rPr>
          <w:rFonts w:asciiTheme="majorHAnsi" w:eastAsia="Times New Roman" w:hAnsiTheme="majorHAnsi" w:cstheme="majorHAnsi"/>
          <w:b/>
        </w:rPr>
      </w:pPr>
    </w:p>
    <w:p w14:paraId="458A08A3" w14:textId="07A5598F" w:rsidR="005E23AC" w:rsidRPr="000D5CB8" w:rsidRDefault="005E23AC" w:rsidP="000D5CB8">
      <w:pPr>
        <w:jc w:val="center"/>
        <w:rPr>
          <w:rFonts w:asciiTheme="majorHAnsi" w:eastAsia="Times New Roman" w:hAnsiTheme="majorHAnsi" w:cstheme="majorHAnsi"/>
          <w:b/>
        </w:rPr>
      </w:pPr>
    </w:p>
    <w:p w14:paraId="5B7A3DE3" w14:textId="77777777" w:rsidR="005E23AC" w:rsidRPr="000D5CB8" w:rsidRDefault="005E23AC" w:rsidP="000D5CB8">
      <w:pPr>
        <w:jc w:val="center"/>
        <w:rPr>
          <w:rFonts w:asciiTheme="majorHAnsi" w:eastAsia="Times New Roman" w:hAnsiTheme="majorHAnsi" w:cstheme="majorHAnsi"/>
          <w:b/>
        </w:rPr>
      </w:pPr>
    </w:p>
    <w:p w14:paraId="7BA52426" w14:textId="77777777" w:rsidR="005E23AC" w:rsidRPr="000D5CB8" w:rsidRDefault="005E23AC" w:rsidP="000D5CB8">
      <w:pPr>
        <w:jc w:val="center"/>
        <w:rPr>
          <w:rFonts w:asciiTheme="majorHAnsi" w:eastAsia="Times New Roman" w:hAnsiTheme="majorHAnsi" w:cstheme="majorHAnsi"/>
          <w:b/>
        </w:rPr>
      </w:pPr>
    </w:p>
    <w:p w14:paraId="0968BB39" w14:textId="77777777" w:rsidR="005E23AC" w:rsidRPr="000D5CB8" w:rsidRDefault="005E23AC" w:rsidP="000D5CB8">
      <w:pPr>
        <w:jc w:val="center"/>
        <w:rPr>
          <w:rFonts w:asciiTheme="majorHAnsi" w:eastAsia="Times New Roman" w:hAnsiTheme="majorHAnsi" w:cstheme="majorHAnsi"/>
          <w:b/>
        </w:rPr>
      </w:pPr>
    </w:p>
    <w:p w14:paraId="11E31F19" w14:textId="07F297A8" w:rsidR="005E23AC" w:rsidRPr="000D5CB8" w:rsidRDefault="00C022C4" w:rsidP="000D5CB8">
      <w:pPr>
        <w:jc w:val="center"/>
        <w:rPr>
          <w:rFonts w:asciiTheme="majorHAnsi" w:eastAsia="Times New Roman" w:hAnsiTheme="majorHAnsi" w:cstheme="majorHAnsi"/>
          <w:b/>
        </w:rPr>
      </w:pPr>
      <w:r w:rsidRPr="000D5CB8">
        <w:rPr>
          <w:rFonts w:asciiTheme="majorHAnsi" w:eastAsia="Times New Roman" w:hAnsiTheme="majorHAnsi" w:cstheme="majorHAnsi"/>
          <w:b/>
        </w:rPr>
        <w:t>Will Ryan Th.D.</w:t>
      </w:r>
    </w:p>
    <w:p w14:paraId="512CCE0F" w14:textId="77777777" w:rsidR="005E23AC" w:rsidRPr="000D5CB8" w:rsidRDefault="005E23AC" w:rsidP="000D5CB8">
      <w:pPr>
        <w:jc w:val="center"/>
        <w:rPr>
          <w:rFonts w:asciiTheme="majorHAnsi" w:eastAsia="Times New Roman" w:hAnsiTheme="majorHAnsi" w:cstheme="majorHAnsi"/>
          <w:b/>
        </w:rPr>
      </w:pPr>
    </w:p>
    <w:p w14:paraId="3EE9F655" w14:textId="523C26C6" w:rsidR="005E23AC" w:rsidRPr="000D5CB8" w:rsidRDefault="006A3099" w:rsidP="000D5CB8">
      <w:pPr>
        <w:jc w:val="center"/>
        <w:rPr>
          <w:rFonts w:asciiTheme="majorHAnsi" w:eastAsia="Times New Roman" w:hAnsiTheme="majorHAnsi" w:cstheme="majorHAnsi"/>
          <w:b/>
        </w:rPr>
      </w:pPr>
      <w:r w:rsidRPr="000D5CB8">
        <w:rPr>
          <w:rFonts w:asciiTheme="majorHAnsi" w:eastAsia="Times New Roman" w:hAnsiTheme="majorHAnsi" w:cstheme="majorHAnsi"/>
          <w:b/>
        </w:rPr>
        <w:t>Matthew M. Mouzakis</w:t>
      </w:r>
      <w:r w:rsidR="00C022C4" w:rsidRPr="000D5CB8">
        <w:rPr>
          <w:rFonts w:asciiTheme="majorHAnsi" w:eastAsia="Times New Roman" w:hAnsiTheme="majorHAnsi" w:cstheme="majorHAnsi"/>
          <w:b/>
        </w:rPr>
        <w:t xml:space="preserve"> </w:t>
      </w:r>
      <w:r w:rsidRPr="000D5CB8">
        <w:rPr>
          <w:rFonts w:asciiTheme="majorHAnsi" w:eastAsia="Times New Roman" w:hAnsiTheme="majorHAnsi" w:cstheme="majorHAnsi"/>
          <w:b/>
        </w:rPr>
        <w:t>Th.D.</w:t>
      </w:r>
    </w:p>
    <w:p w14:paraId="309BEF66" w14:textId="77777777" w:rsidR="005E23AC" w:rsidRPr="000D5CB8" w:rsidRDefault="005E23AC" w:rsidP="000D5CB8">
      <w:pPr>
        <w:jc w:val="center"/>
        <w:rPr>
          <w:rFonts w:asciiTheme="majorHAnsi" w:eastAsia="Times New Roman" w:hAnsiTheme="majorHAnsi" w:cstheme="majorHAnsi"/>
          <w:b/>
        </w:rPr>
      </w:pPr>
    </w:p>
    <w:p w14:paraId="693BF1B2" w14:textId="77777777" w:rsidR="005E23AC" w:rsidRPr="000D5CB8" w:rsidRDefault="005E23AC" w:rsidP="000D5CB8">
      <w:pPr>
        <w:jc w:val="center"/>
        <w:rPr>
          <w:rFonts w:asciiTheme="majorHAnsi" w:eastAsia="Times New Roman" w:hAnsiTheme="majorHAnsi" w:cstheme="majorHAnsi"/>
          <w:b/>
        </w:rPr>
      </w:pPr>
    </w:p>
    <w:p w14:paraId="3BB42B1B" w14:textId="77777777" w:rsidR="005E23AC" w:rsidRPr="000D5CB8" w:rsidRDefault="005E23AC" w:rsidP="000D5CB8">
      <w:pPr>
        <w:jc w:val="center"/>
        <w:rPr>
          <w:rFonts w:asciiTheme="majorHAnsi" w:eastAsia="Times New Roman" w:hAnsiTheme="majorHAnsi" w:cstheme="majorHAnsi"/>
          <w:b/>
        </w:rPr>
      </w:pPr>
    </w:p>
    <w:p w14:paraId="09E684CD" w14:textId="77777777" w:rsidR="005E23AC" w:rsidRPr="000D5CB8" w:rsidRDefault="005E23AC" w:rsidP="000D5CB8">
      <w:pPr>
        <w:jc w:val="center"/>
        <w:rPr>
          <w:rFonts w:asciiTheme="majorHAnsi" w:eastAsia="Times New Roman" w:hAnsiTheme="majorHAnsi" w:cstheme="majorHAnsi"/>
          <w:b/>
        </w:rPr>
      </w:pPr>
    </w:p>
    <w:p w14:paraId="6B8165B7" w14:textId="77777777" w:rsidR="005E23AC" w:rsidRPr="000D5CB8" w:rsidRDefault="005E23AC" w:rsidP="000D5CB8">
      <w:pPr>
        <w:jc w:val="center"/>
        <w:rPr>
          <w:rFonts w:asciiTheme="majorHAnsi" w:eastAsia="Times New Roman" w:hAnsiTheme="majorHAnsi" w:cstheme="majorHAnsi"/>
          <w:b/>
        </w:rPr>
      </w:pPr>
    </w:p>
    <w:p w14:paraId="5E2814FD" w14:textId="77777777" w:rsidR="005E23AC" w:rsidRPr="000D5CB8" w:rsidRDefault="005E23AC" w:rsidP="000D5CB8">
      <w:pPr>
        <w:jc w:val="center"/>
        <w:rPr>
          <w:rFonts w:asciiTheme="majorHAnsi" w:eastAsia="Times New Roman" w:hAnsiTheme="majorHAnsi" w:cstheme="majorHAnsi"/>
          <w:b/>
        </w:rPr>
      </w:pPr>
    </w:p>
    <w:p w14:paraId="42BA2353" w14:textId="77777777" w:rsidR="005E23AC" w:rsidRPr="000D5CB8" w:rsidRDefault="005E23AC" w:rsidP="000D5CB8">
      <w:pPr>
        <w:jc w:val="center"/>
        <w:rPr>
          <w:rFonts w:asciiTheme="majorHAnsi" w:eastAsia="Times New Roman" w:hAnsiTheme="majorHAnsi" w:cstheme="majorHAnsi"/>
          <w:b/>
        </w:rPr>
      </w:pPr>
    </w:p>
    <w:p w14:paraId="23D8CC89" w14:textId="5477DC03" w:rsidR="005E23AC" w:rsidRPr="000D5CB8" w:rsidRDefault="005E23AC" w:rsidP="000D5CB8">
      <w:pPr>
        <w:jc w:val="center"/>
        <w:rPr>
          <w:rFonts w:asciiTheme="majorHAnsi" w:eastAsia="Times New Roman" w:hAnsiTheme="majorHAnsi" w:cstheme="majorHAnsi"/>
          <w:b/>
        </w:rPr>
      </w:pPr>
    </w:p>
    <w:p w14:paraId="4F2B57C5" w14:textId="77777777" w:rsidR="005E23AC" w:rsidRPr="000D5CB8" w:rsidRDefault="005E23AC" w:rsidP="000D5CB8">
      <w:pPr>
        <w:jc w:val="center"/>
        <w:rPr>
          <w:rFonts w:asciiTheme="majorHAnsi" w:eastAsia="Times New Roman" w:hAnsiTheme="majorHAnsi" w:cstheme="majorHAnsi"/>
          <w:b/>
        </w:rPr>
      </w:pPr>
    </w:p>
    <w:p w14:paraId="4CD2FCA7" w14:textId="77777777" w:rsidR="005E23AC" w:rsidRPr="000D5CB8" w:rsidRDefault="005E23AC" w:rsidP="000D5CB8">
      <w:pPr>
        <w:jc w:val="center"/>
        <w:rPr>
          <w:rFonts w:asciiTheme="majorHAnsi" w:eastAsia="Times New Roman" w:hAnsiTheme="majorHAnsi" w:cstheme="majorHAnsi"/>
          <w:b/>
        </w:rPr>
      </w:pPr>
    </w:p>
    <w:p w14:paraId="55337593" w14:textId="77777777" w:rsidR="005E23AC" w:rsidRPr="000D5CB8" w:rsidRDefault="005E23AC" w:rsidP="000D5CB8">
      <w:pPr>
        <w:jc w:val="center"/>
        <w:rPr>
          <w:rFonts w:asciiTheme="majorHAnsi" w:eastAsia="Times New Roman" w:hAnsiTheme="majorHAnsi" w:cstheme="majorHAnsi"/>
          <w:b/>
        </w:rPr>
      </w:pPr>
    </w:p>
    <w:p w14:paraId="32325940" w14:textId="77777777" w:rsidR="005E23AC" w:rsidRPr="000D5CB8" w:rsidRDefault="005E23AC" w:rsidP="000D5CB8">
      <w:pPr>
        <w:jc w:val="center"/>
        <w:rPr>
          <w:rFonts w:asciiTheme="majorHAnsi" w:eastAsia="Times New Roman" w:hAnsiTheme="majorHAnsi" w:cstheme="majorHAnsi"/>
          <w:b/>
        </w:rPr>
      </w:pPr>
    </w:p>
    <w:p w14:paraId="5096C5B7" w14:textId="77777777" w:rsidR="005E23AC" w:rsidRPr="000D5CB8" w:rsidRDefault="005E23AC" w:rsidP="000D5CB8">
      <w:pPr>
        <w:jc w:val="center"/>
        <w:rPr>
          <w:rFonts w:asciiTheme="majorHAnsi" w:eastAsia="Times New Roman" w:hAnsiTheme="majorHAnsi" w:cstheme="majorHAnsi"/>
          <w:b/>
        </w:rPr>
      </w:pPr>
    </w:p>
    <w:p w14:paraId="430D04D8" w14:textId="4BAD3B06" w:rsidR="005E23AC" w:rsidRPr="000D5CB8" w:rsidRDefault="005E23AC" w:rsidP="000D5CB8">
      <w:pPr>
        <w:jc w:val="center"/>
        <w:rPr>
          <w:rFonts w:asciiTheme="majorHAnsi" w:eastAsia="Times New Roman" w:hAnsiTheme="majorHAnsi" w:cstheme="majorHAnsi"/>
          <w:b/>
        </w:rPr>
      </w:pPr>
    </w:p>
    <w:p w14:paraId="657FA7E3" w14:textId="56032073" w:rsidR="005E23AC" w:rsidRPr="000D5CB8" w:rsidRDefault="005E23AC" w:rsidP="000D5CB8">
      <w:pPr>
        <w:jc w:val="center"/>
        <w:rPr>
          <w:rFonts w:asciiTheme="majorHAnsi" w:eastAsia="Times New Roman" w:hAnsiTheme="majorHAnsi" w:cstheme="majorHAnsi"/>
          <w:b/>
        </w:rPr>
      </w:pPr>
    </w:p>
    <w:p w14:paraId="6D588C00" w14:textId="77777777" w:rsidR="005E23AC" w:rsidRPr="000D5CB8" w:rsidRDefault="006A3099" w:rsidP="000D5CB8">
      <w:pPr>
        <w:jc w:val="center"/>
        <w:rPr>
          <w:rFonts w:asciiTheme="majorHAnsi" w:eastAsia="Times New Roman" w:hAnsiTheme="majorHAnsi" w:cstheme="majorHAnsi"/>
          <w:b/>
        </w:rPr>
      </w:pPr>
      <w:r w:rsidRPr="000D5CB8">
        <w:rPr>
          <w:rFonts w:asciiTheme="majorHAnsi" w:eastAsia="Times New Roman" w:hAnsiTheme="majorHAnsi" w:cstheme="majorHAnsi"/>
          <w:b/>
        </w:rPr>
        <w:t>ACKNOWLEDGEMENTS</w:t>
      </w:r>
    </w:p>
    <w:p w14:paraId="78FFC259" w14:textId="77777777" w:rsidR="005E23AC" w:rsidRPr="000D5CB8" w:rsidRDefault="005E23AC" w:rsidP="000D5CB8">
      <w:pPr>
        <w:jc w:val="center"/>
        <w:rPr>
          <w:rFonts w:asciiTheme="majorHAnsi" w:eastAsia="Times New Roman" w:hAnsiTheme="majorHAnsi" w:cstheme="majorHAnsi"/>
          <w:b/>
        </w:rPr>
      </w:pPr>
    </w:p>
    <w:p w14:paraId="06CFD555" w14:textId="77777777" w:rsidR="005E23AC" w:rsidRPr="000D5CB8" w:rsidRDefault="005E23AC" w:rsidP="000D5CB8">
      <w:pPr>
        <w:jc w:val="center"/>
        <w:rPr>
          <w:rFonts w:asciiTheme="majorHAnsi" w:eastAsia="Times New Roman" w:hAnsiTheme="majorHAnsi" w:cstheme="majorHAnsi"/>
          <w:b/>
        </w:rPr>
      </w:pPr>
    </w:p>
    <w:p w14:paraId="70C8C650" w14:textId="60439C3C"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r>
      <w:r w:rsidR="002244F7" w:rsidRPr="000D5CB8">
        <w:rPr>
          <w:rFonts w:asciiTheme="majorHAnsi" w:eastAsia="Times New Roman" w:hAnsiTheme="majorHAnsi" w:cstheme="majorHAnsi"/>
        </w:rPr>
        <w:t>We are both</w:t>
      </w:r>
      <w:r w:rsidRPr="000D5CB8">
        <w:rPr>
          <w:rFonts w:asciiTheme="majorHAnsi" w:eastAsia="Times New Roman" w:hAnsiTheme="majorHAnsi" w:cstheme="majorHAnsi"/>
        </w:rPr>
        <w:t xml:space="preserve"> thankful for </w:t>
      </w:r>
      <w:r w:rsidR="002244F7" w:rsidRPr="000D5CB8">
        <w:rPr>
          <w:rFonts w:asciiTheme="majorHAnsi" w:eastAsia="Times New Roman" w:hAnsiTheme="majorHAnsi" w:cstheme="majorHAnsi"/>
        </w:rPr>
        <w:t>our</w:t>
      </w:r>
      <w:r w:rsidRPr="000D5CB8">
        <w:rPr>
          <w:rFonts w:asciiTheme="majorHAnsi" w:eastAsia="Times New Roman" w:hAnsiTheme="majorHAnsi" w:cstheme="majorHAnsi"/>
        </w:rPr>
        <w:t xml:space="preserve"> amazing famil</w:t>
      </w:r>
      <w:r w:rsidR="002244F7" w:rsidRPr="000D5CB8">
        <w:rPr>
          <w:rFonts w:asciiTheme="majorHAnsi" w:eastAsia="Times New Roman" w:hAnsiTheme="majorHAnsi" w:cstheme="majorHAnsi"/>
        </w:rPr>
        <w:t>ies</w:t>
      </w:r>
      <w:r w:rsidRPr="000D5CB8">
        <w:rPr>
          <w:rFonts w:asciiTheme="majorHAnsi" w:eastAsia="Times New Roman" w:hAnsiTheme="majorHAnsi" w:cstheme="majorHAnsi"/>
        </w:rPr>
        <w:t xml:space="preserve"> for </w:t>
      </w:r>
      <w:r w:rsidR="002244F7" w:rsidRPr="000D5CB8">
        <w:rPr>
          <w:rFonts w:asciiTheme="majorHAnsi" w:eastAsia="Times New Roman" w:hAnsiTheme="majorHAnsi" w:cstheme="majorHAnsi"/>
        </w:rPr>
        <w:t>supporting us in our heart and kingdom passion for theology</w:t>
      </w:r>
      <w:r w:rsidRPr="000D5CB8">
        <w:rPr>
          <w:rFonts w:asciiTheme="majorHAnsi" w:eastAsia="Times New Roman" w:hAnsiTheme="majorHAnsi" w:cstheme="majorHAnsi"/>
        </w:rPr>
        <w:t xml:space="preserve"> and being supportive </w:t>
      </w:r>
      <w:r w:rsidR="00634C0C" w:rsidRPr="000D5CB8">
        <w:rPr>
          <w:rFonts w:asciiTheme="majorHAnsi" w:eastAsia="Times New Roman" w:hAnsiTheme="majorHAnsi" w:cstheme="majorHAnsi"/>
        </w:rPr>
        <w:t>in every way</w:t>
      </w:r>
      <w:r w:rsidRPr="000D5CB8">
        <w:rPr>
          <w:rFonts w:asciiTheme="majorHAnsi" w:eastAsia="Times New Roman" w:hAnsiTheme="majorHAnsi" w:cstheme="majorHAnsi"/>
        </w:rPr>
        <w:t xml:space="preserve">. Without them, this would not have been possible. </w:t>
      </w:r>
    </w:p>
    <w:p w14:paraId="616CCD4B" w14:textId="2206DEF3"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b/>
        </w:rPr>
        <w:tab/>
      </w:r>
      <w:r w:rsidR="00634C0C" w:rsidRPr="000D5CB8">
        <w:rPr>
          <w:rFonts w:asciiTheme="majorHAnsi" w:eastAsia="Times New Roman" w:hAnsiTheme="majorHAnsi" w:cstheme="majorHAnsi"/>
        </w:rPr>
        <w:t>We</w:t>
      </w:r>
      <w:r w:rsidRPr="000D5CB8">
        <w:rPr>
          <w:rFonts w:asciiTheme="majorHAnsi" w:eastAsia="Times New Roman" w:hAnsiTheme="majorHAnsi" w:cstheme="majorHAnsi"/>
        </w:rPr>
        <w:t xml:space="preserve"> would like to dedicate this </w:t>
      </w:r>
      <w:r w:rsidR="00634C0C" w:rsidRPr="000D5CB8">
        <w:rPr>
          <w:rFonts w:asciiTheme="majorHAnsi" w:eastAsia="Times New Roman" w:hAnsiTheme="majorHAnsi" w:cstheme="majorHAnsi"/>
        </w:rPr>
        <w:t>work</w:t>
      </w:r>
      <w:r w:rsidRPr="000D5CB8">
        <w:rPr>
          <w:rFonts w:asciiTheme="majorHAnsi" w:eastAsia="Times New Roman" w:hAnsiTheme="majorHAnsi" w:cstheme="majorHAnsi"/>
        </w:rPr>
        <w:t xml:space="preserve"> to Dr. Michael Heiser. </w:t>
      </w:r>
      <w:r w:rsidR="00634C0C" w:rsidRPr="000D5CB8">
        <w:rPr>
          <w:rFonts w:asciiTheme="majorHAnsi" w:eastAsia="Times New Roman" w:hAnsiTheme="majorHAnsi" w:cstheme="majorHAnsi"/>
        </w:rPr>
        <w:t>Our</w:t>
      </w:r>
      <w:r w:rsidRPr="000D5CB8">
        <w:rPr>
          <w:rFonts w:asciiTheme="majorHAnsi" w:eastAsia="Times New Roman" w:hAnsiTheme="majorHAnsi" w:cstheme="majorHAnsi"/>
        </w:rPr>
        <w:t xml:space="preserve"> hope was to discuss this project with him in the future as it is continuing his work on the supernatural and taking it into the realm of political conflict theology. During the writing of this project Dr. Heiser passed away after a battle with cancer. Thank you Dr. Heiser</w:t>
      </w:r>
      <w:r w:rsidR="000540B6" w:rsidRPr="000D5CB8">
        <w:rPr>
          <w:rFonts w:asciiTheme="majorHAnsi" w:eastAsia="Times New Roman" w:hAnsiTheme="majorHAnsi" w:cstheme="majorHAnsi"/>
        </w:rPr>
        <w:t xml:space="preserve"> for </w:t>
      </w:r>
      <w:proofErr w:type="gramStart"/>
      <w:r w:rsidR="000540B6" w:rsidRPr="000D5CB8">
        <w:rPr>
          <w:rFonts w:asciiTheme="majorHAnsi" w:eastAsia="Times New Roman" w:hAnsiTheme="majorHAnsi" w:cstheme="majorHAnsi"/>
        </w:rPr>
        <w:t>you</w:t>
      </w:r>
      <w:proofErr w:type="gramEnd"/>
      <w:r w:rsidR="000540B6" w:rsidRPr="000D5CB8">
        <w:rPr>
          <w:rFonts w:asciiTheme="majorHAnsi" w:eastAsia="Times New Roman" w:hAnsiTheme="majorHAnsi" w:cstheme="majorHAnsi"/>
        </w:rPr>
        <w:t xml:space="preserve"> investments</w:t>
      </w:r>
      <w:r w:rsidRPr="000D5CB8">
        <w:rPr>
          <w:rFonts w:asciiTheme="majorHAnsi" w:eastAsia="Times New Roman" w:hAnsiTheme="majorHAnsi" w:cstheme="majorHAnsi"/>
        </w:rPr>
        <w:t>!</w:t>
      </w:r>
    </w:p>
    <w:p w14:paraId="260C952F" w14:textId="77777777" w:rsidR="005E23AC" w:rsidRPr="000D5CB8" w:rsidRDefault="005E23AC" w:rsidP="000D5CB8">
      <w:pPr>
        <w:jc w:val="center"/>
        <w:rPr>
          <w:rFonts w:asciiTheme="majorHAnsi" w:eastAsia="Times New Roman" w:hAnsiTheme="majorHAnsi" w:cstheme="majorHAnsi"/>
          <w:b/>
        </w:rPr>
      </w:pPr>
    </w:p>
    <w:p w14:paraId="4BC3E4DF" w14:textId="77777777" w:rsidR="005E23AC" w:rsidRPr="000D5CB8" w:rsidRDefault="005E23AC" w:rsidP="000D5CB8">
      <w:pPr>
        <w:jc w:val="center"/>
        <w:rPr>
          <w:rFonts w:asciiTheme="majorHAnsi" w:eastAsia="Times New Roman" w:hAnsiTheme="majorHAnsi" w:cstheme="majorHAnsi"/>
          <w:b/>
        </w:rPr>
      </w:pPr>
    </w:p>
    <w:p w14:paraId="35300CB7" w14:textId="77777777" w:rsidR="005E23AC" w:rsidRPr="000D5CB8" w:rsidRDefault="005E23AC" w:rsidP="000D5CB8">
      <w:pPr>
        <w:jc w:val="center"/>
        <w:rPr>
          <w:rFonts w:asciiTheme="majorHAnsi" w:eastAsia="Times New Roman" w:hAnsiTheme="majorHAnsi" w:cstheme="majorHAnsi"/>
          <w:b/>
        </w:rPr>
      </w:pPr>
    </w:p>
    <w:p w14:paraId="0F6489D2" w14:textId="77777777" w:rsidR="005E23AC" w:rsidRPr="000D5CB8" w:rsidRDefault="005E23AC" w:rsidP="000D5CB8">
      <w:pPr>
        <w:jc w:val="center"/>
        <w:rPr>
          <w:rFonts w:asciiTheme="majorHAnsi" w:eastAsia="Times New Roman" w:hAnsiTheme="majorHAnsi" w:cstheme="majorHAnsi"/>
          <w:b/>
        </w:rPr>
      </w:pPr>
    </w:p>
    <w:p w14:paraId="1F07FFC1" w14:textId="77777777" w:rsidR="005E23AC" w:rsidRPr="000D5CB8" w:rsidRDefault="005E23AC" w:rsidP="000D5CB8">
      <w:pPr>
        <w:jc w:val="center"/>
        <w:rPr>
          <w:rFonts w:asciiTheme="majorHAnsi" w:eastAsia="Times New Roman" w:hAnsiTheme="majorHAnsi" w:cstheme="majorHAnsi"/>
          <w:b/>
        </w:rPr>
      </w:pPr>
    </w:p>
    <w:p w14:paraId="10EB4703" w14:textId="77777777" w:rsidR="005E23AC" w:rsidRPr="000D5CB8" w:rsidRDefault="005E23AC" w:rsidP="000D5CB8">
      <w:pPr>
        <w:jc w:val="center"/>
        <w:rPr>
          <w:rFonts w:asciiTheme="majorHAnsi" w:eastAsia="Times New Roman" w:hAnsiTheme="majorHAnsi" w:cstheme="majorHAnsi"/>
          <w:b/>
        </w:rPr>
      </w:pPr>
    </w:p>
    <w:p w14:paraId="2D1004E6" w14:textId="77777777" w:rsidR="005E23AC" w:rsidRPr="000D5CB8" w:rsidRDefault="005E23AC" w:rsidP="000D5CB8">
      <w:pPr>
        <w:jc w:val="center"/>
        <w:rPr>
          <w:rFonts w:asciiTheme="majorHAnsi" w:eastAsia="Times New Roman" w:hAnsiTheme="majorHAnsi" w:cstheme="majorHAnsi"/>
          <w:b/>
        </w:rPr>
      </w:pPr>
    </w:p>
    <w:p w14:paraId="5A98B7FB" w14:textId="77777777" w:rsidR="005E23AC" w:rsidRPr="000D5CB8" w:rsidRDefault="005E23AC" w:rsidP="000D5CB8">
      <w:pPr>
        <w:jc w:val="center"/>
        <w:rPr>
          <w:rFonts w:asciiTheme="majorHAnsi" w:eastAsia="Times New Roman" w:hAnsiTheme="majorHAnsi" w:cstheme="majorHAnsi"/>
          <w:b/>
        </w:rPr>
      </w:pPr>
    </w:p>
    <w:p w14:paraId="2FD6FC84" w14:textId="77777777" w:rsidR="005E23AC" w:rsidRPr="000D5CB8" w:rsidRDefault="005E23AC" w:rsidP="000D5CB8">
      <w:pPr>
        <w:jc w:val="center"/>
        <w:rPr>
          <w:rFonts w:asciiTheme="majorHAnsi" w:eastAsia="Times New Roman" w:hAnsiTheme="majorHAnsi" w:cstheme="majorHAnsi"/>
          <w:b/>
        </w:rPr>
      </w:pPr>
    </w:p>
    <w:p w14:paraId="65A20FBE" w14:textId="77777777" w:rsidR="005E23AC" w:rsidRPr="000D5CB8" w:rsidRDefault="005E23AC" w:rsidP="000D5CB8">
      <w:pPr>
        <w:rPr>
          <w:rFonts w:asciiTheme="majorHAnsi" w:eastAsia="Times New Roman" w:hAnsiTheme="majorHAnsi" w:cstheme="majorHAnsi"/>
          <w:b/>
        </w:rPr>
      </w:pPr>
    </w:p>
    <w:p w14:paraId="1542EA48" w14:textId="77777777" w:rsidR="005E23AC" w:rsidRPr="000D5CB8" w:rsidRDefault="006A3099" w:rsidP="000D5CB8">
      <w:pPr>
        <w:jc w:val="center"/>
        <w:rPr>
          <w:rFonts w:asciiTheme="majorHAnsi" w:eastAsia="Times New Roman" w:hAnsiTheme="majorHAnsi" w:cstheme="majorHAnsi"/>
          <w:b/>
        </w:rPr>
      </w:pPr>
      <w:r w:rsidRPr="000D5CB8">
        <w:rPr>
          <w:rFonts w:asciiTheme="majorHAnsi" w:hAnsiTheme="majorHAnsi" w:cstheme="majorHAnsi"/>
        </w:rPr>
        <w:br w:type="page"/>
      </w:r>
    </w:p>
    <w:p w14:paraId="4322821B" w14:textId="3BD0C45E" w:rsidR="005E23AC" w:rsidRPr="000D5CB8" w:rsidRDefault="00CD20AD" w:rsidP="000D5CB8">
      <w:pPr>
        <w:jc w:val="center"/>
        <w:rPr>
          <w:rFonts w:asciiTheme="majorHAnsi" w:eastAsia="Times New Roman" w:hAnsiTheme="majorHAnsi" w:cstheme="majorHAnsi"/>
          <w:b/>
        </w:rPr>
      </w:pPr>
      <w:r>
        <w:rPr>
          <w:rFonts w:asciiTheme="majorHAnsi" w:eastAsia="Times New Roman" w:hAnsiTheme="majorHAnsi" w:cstheme="majorHAnsi"/>
          <w:b/>
        </w:rPr>
        <w:lastRenderedPageBreak/>
        <w:t>FOREWORD</w:t>
      </w:r>
    </w:p>
    <w:p w14:paraId="1DE61742" w14:textId="77777777" w:rsidR="005E23AC" w:rsidRPr="000D5CB8" w:rsidRDefault="005E23AC" w:rsidP="000D5CB8">
      <w:pPr>
        <w:jc w:val="center"/>
        <w:rPr>
          <w:rFonts w:asciiTheme="majorHAnsi" w:eastAsia="Times New Roman" w:hAnsiTheme="majorHAnsi" w:cstheme="majorHAnsi"/>
          <w:b/>
        </w:rPr>
      </w:pPr>
    </w:p>
    <w:p w14:paraId="1F170377" w14:textId="77777777" w:rsidR="005E23AC" w:rsidRPr="000D5CB8" w:rsidRDefault="005E23AC" w:rsidP="000D5CB8">
      <w:pPr>
        <w:jc w:val="center"/>
        <w:rPr>
          <w:rFonts w:asciiTheme="majorHAnsi" w:eastAsia="Times New Roman" w:hAnsiTheme="majorHAnsi" w:cstheme="majorHAnsi"/>
          <w:b/>
        </w:rPr>
      </w:pPr>
    </w:p>
    <w:p w14:paraId="50ECA074" w14:textId="77777777" w:rsidR="005E23AC" w:rsidRPr="000D5CB8" w:rsidRDefault="005E23AC" w:rsidP="000D5CB8">
      <w:pPr>
        <w:rPr>
          <w:rFonts w:asciiTheme="majorHAnsi" w:eastAsia="Times New Roman" w:hAnsiTheme="majorHAnsi" w:cstheme="majorHAnsi"/>
          <w:b/>
        </w:rPr>
      </w:pPr>
    </w:p>
    <w:p w14:paraId="20D47322"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b/>
        </w:rPr>
        <w:tab/>
      </w:r>
      <w:r w:rsidRPr="000D5CB8">
        <w:rPr>
          <w:rFonts w:asciiTheme="majorHAnsi" w:eastAsia="Times New Roman" w:hAnsiTheme="majorHAnsi" w:cstheme="majorHAnsi"/>
        </w:rPr>
        <w:t xml:space="preserve">The role of God’s people in the world in relationship to governments and empires has been a topic of debate and discussion in the church. God’s people </w:t>
      </w:r>
      <w:proofErr w:type="gramStart"/>
      <w:r w:rsidRPr="000D5CB8">
        <w:rPr>
          <w:rFonts w:asciiTheme="majorHAnsi" w:eastAsia="Times New Roman" w:hAnsiTheme="majorHAnsi" w:cstheme="majorHAnsi"/>
        </w:rPr>
        <w:t>are  called</w:t>
      </w:r>
      <w:proofErr w:type="gramEnd"/>
      <w:r w:rsidRPr="000D5CB8">
        <w:rPr>
          <w:rFonts w:asciiTheme="majorHAnsi" w:eastAsia="Times New Roman" w:hAnsiTheme="majorHAnsi" w:cstheme="majorHAnsi"/>
        </w:rPr>
        <w:t xml:space="preserve"> to be in the world but not of the world. Yet the temptation </w:t>
      </w:r>
      <w:proofErr w:type="gramStart"/>
      <w:r w:rsidRPr="000D5CB8">
        <w:rPr>
          <w:rFonts w:asciiTheme="majorHAnsi" w:eastAsia="Times New Roman" w:hAnsiTheme="majorHAnsi" w:cstheme="majorHAnsi"/>
        </w:rPr>
        <w:t>for</w:t>
      </w:r>
      <w:proofErr w:type="gramEnd"/>
      <w:r w:rsidRPr="000D5CB8">
        <w:rPr>
          <w:rFonts w:asciiTheme="majorHAnsi" w:eastAsia="Times New Roman" w:hAnsiTheme="majorHAnsi" w:cstheme="majorHAnsi"/>
        </w:rPr>
        <w:t xml:space="preserve"> the church over the centuries has been to become entangled in the systems of the Principalities and Powers. Much of this has stemmed from </w:t>
      </w:r>
      <w:proofErr w:type="spellStart"/>
      <w:r w:rsidRPr="000D5CB8">
        <w:rPr>
          <w:rFonts w:asciiTheme="majorHAnsi" w:eastAsia="Times New Roman" w:hAnsiTheme="majorHAnsi" w:cstheme="majorHAnsi"/>
        </w:rPr>
        <w:t>Constantinianism</w:t>
      </w:r>
      <w:proofErr w:type="spellEnd"/>
      <w:r w:rsidRPr="000D5CB8">
        <w:rPr>
          <w:rFonts w:asciiTheme="majorHAnsi" w:eastAsia="Times New Roman" w:hAnsiTheme="majorHAnsi" w:cstheme="majorHAnsi"/>
        </w:rPr>
        <w:t xml:space="preserve">, Luther’s </w:t>
      </w:r>
      <w:r w:rsidRPr="000D5CB8">
        <w:rPr>
          <w:rFonts w:asciiTheme="majorHAnsi" w:eastAsia="Times New Roman" w:hAnsiTheme="majorHAnsi" w:cstheme="majorHAnsi"/>
          <w:i/>
        </w:rPr>
        <w:t>Two Kingdoms</w:t>
      </w:r>
      <w:r w:rsidRPr="000D5CB8">
        <w:rPr>
          <w:rFonts w:asciiTheme="majorHAnsi" w:eastAsia="Times New Roman" w:hAnsiTheme="majorHAnsi" w:cstheme="majorHAnsi"/>
        </w:rPr>
        <w:t xml:space="preserve"> Theology, and modern interpretive methods such as dispensationalism. Through these approaches texts such as Romans 13:1-7 and 1 Peter 2:13-17 have been used to communicate the divine right of kings and total submission to the government or the idea of Christian involvement/rule in worldly governments and the Christianizing of these systems. But the question is whether this was the message that the Apostles were trying to communicate. John writes a seemingly contradictory and subversive message in Revelation exhorting the church to come out of the empire and not participate in the Beast. Do these messages in the New Testament conflict? </w:t>
      </w:r>
    </w:p>
    <w:p w14:paraId="1151B5E6"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I believe that an examination of the Deuteronomy 32 Worldview of the Old Testament and its application to these texts will give clarity to the interpretation regarding this important topic. Within this worldview the Jews saw that all the nations of the world were disinherited at Babel and placed under the rulership of spiritual powers that became hostile. Israel was God’s chosen and distinct people that were called to be a light to the nations and to be the better place God began </w:t>
      </w:r>
      <w:proofErr w:type="gramStart"/>
      <w:r w:rsidRPr="000D5CB8">
        <w:rPr>
          <w:rFonts w:asciiTheme="majorHAnsi" w:eastAsia="Times New Roman" w:hAnsiTheme="majorHAnsi" w:cstheme="majorHAnsi"/>
        </w:rPr>
        <w:t>in the midst of</w:t>
      </w:r>
      <w:proofErr w:type="gramEnd"/>
      <w:r w:rsidRPr="000D5CB8">
        <w:rPr>
          <w:rFonts w:asciiTheme="majorHAnsi" w:eastAsia="Times New Roman" w:hAnsiTheme="majorHAnsi" w:cstheme="majorHAnsi"/>
        </w:rPr>
        <w:t xml:space="preserve"> the fallen world.</w:t>
      </w:r>
    </w:p>
    <w:p w14:paraId="06BBE42B"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In the New Testament, this worldview continues to be alive and well in the early church and gives a framework for how to live as exiles in this world. But with the delegitimizing of the Principalities and Powers on the Cross, how are God’s people supposed to live within hostile Empires? We see that the structure of Empires may change throughout history, but the worldview and the way God’s people are called to live in their midst does not change. </w:t>
      </w:r>
    </w:p>
    <w:p w14:paraId="712CEE28"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Misinterpretations of Romans 13:1-7, 1 Peter 2:13-17, and the political ideology of Revelation 13 have brought about unnecessary entanglement. But a Deuteronomy 32 interpretive framework, combined with the ethics of the Kingdom of God, help us to resolve poor interpretive methods that lead to contradictions in Scripture and misinterpretations of the mission of the church.</w:t>
      </w:r>
    </w:p>
    <w:p w14:paraId="63B958A2" w14:textId="77777777" w:rsidR="005E23AC" w:rsidRPr="000D5CB8" w:rsidRDefault="005E23AC" w:rsidP="000D5CB8">
      <w:pPr>
        <w:rPr>
          <w:rFonts w:asciiTheme="majorHAnsi" w:eastAsia="Times New Roman" w:hAnsiTheme="majorHAnsi" w:cstheme="majorHAnsi"/>
        </w:rPr>
      </w:pPr>
    </w:p>
    <w:p w14:paraId="588A3277" w14:textId="77777777" w:rsidR="005E23AC" w:rsidRPr="000D5CB8" w:rsidRDefault="005E23AC" w:rsidP="000D5CB8">
      <w:pPr>
        <w:rPr>
          <w:rFonts w:asciiTheme="majorHAnsi" w:eastAsia="Times New Roman" w:hAnsiTheme="majorHAnsi" w:cstheme="majorHAnsi"/>
        </w:rPr>
      </w:pPr>
    </w:p>
    <w:p w14:paraId="48BEE37C" w14:textId="77777777" w:rsidR="005E23AC" w:rsidRPr="000D5CB8" w:rsidRDefault="005E23AC" w:rsidP="000D5CB8">
      <w:pPr>
        <w:rPr>
          <w:rFonts w:asciiTheme="majorHAnsi" w:eastAsia="Times New Roman" w:hAnsiTheme="majorHAnsi" w:cstheme="majorHAnsi"/>
        </w:rPr>
      </w:pPr>
    </w:p>
    <w:p w14:paraId="5E29E73C" w14:textId="77777777" w:rsidR="005E23AC" w:rsidRPr="000D5CB8" w:rsidRDefault="005E23AC" w:rsidP="000D5CB8">
      <w:pPr>
        <w:rPr>
          <w:rFonts w:asciiTheme="majorHAnsi" w:eastAsia="Times New Roman" w:hAnsiTheme="majorHAnsi" w:cstheme="majorHAnsi"/>
        </w:rPr>
      </w:pPr>
    </w:p>
    <w:p w14:paraId="0898C4D0" w14:textId="77777777" w:rsidR="005E23AC" w:rsidRPr="000D5CB8" w:rsidRDefault="005E23AC" w:rsidP="000D5CB8">
      <w:pPr>
        <w:rPr>
          <w:rFonts w:asciiTheme="majorHAnsi" w:eastAsia="Times New Roman" w:hAnsiTheme="majorHAnsi" w:cstheme="majorHAnsi"/>
        </w:rPr>
      </w:pPr>
    </w:p>
    <w:p w14:paraId="67C31522" w14:textId="77777777" w:rsidR="005E23AC" w:rsidRPr="000D5CB8" w:rsidRDefault="005E23AC" w:rsidP="000D5CB8">
      <w:pPr>
        <w:rPr>
          <w:rFonts w:asciiTheme="majorHAnsi" w:eastAsia="Times New Roman" w:hAnsiTheme="majorHAnsi" w:cstheme="majorHAnsi"/>
        </w:rPr>
      </w:pPr>
    </w:p>
    <w:p w14:paraId="420EB4AF" w14:textId="77777777" w:rsidR="005E23AC" w:rsidRPr="000D5CB8" w:rsidRDefault="005E23AC" w:rsidP="000D5CB8">
      <w:pPr>
        <w:rPr>
          <w:rFonts w:asciiTheme="majorHAnsi" w:eastAsia="Times New Roman" w:hAnsiTheme="majorHAnsi" w:cstheme="majorHAnsi"/>
        </w:rPr>
      </w:pPr>
    </w:p>
    <w:p w14:paraId="493676AA" w14:textId="77777777" w:rsidR="005E23AC" w:rsidRPr="000D5CB8" w:rsidRDefault="005E23AC" w:rsidP="000D5CB8">
      <w:pPr>
        <w:rPr>
          <w:rFonts w:asciiTheme="majorHAnsi" w:eastAsia="Times New Roman" w:hAnsiTheme="majorHAnsi" w:cstheme="majorHAnsi"/>
        </w:rPr>
      </w:pPr>
    </w:p>
    <w:p w14:paraId="49733079" w14:textId="77777777" w:rsidR="005E23AC" w:rsidRPr="000D5CB8" w:rsidRDefault="005E23AC" w:rsidP="000D5CB8">
      <w:pPr>
        <w:rPr>
          <w:rFonts w:asciiTheme="majorHAnsi" w:eastAsia="Times New Roman" w:hAnsiTheme="majorHAnsi" w:cstheme="majorHAnsi"/>
        </w:rPr>
      </w:pPr>
    </w:p>
    <w:p w14:paraId="63176E31" w14:textId="77777777" w:rsidR="005E23AC" w:rsidRPr="000D5CB8" w:rsidRDefault="005E23AC" w:rsidP="000D5CB8">
      <w:pPr>
        <w:rPr>
          <w:rFonts w:asciiTheme="majorHAnsi" w:eastAsia="Times New Roman" w:hAnsiTheme="majorHAnsi" w:cstheme="majorHAnsi"/>
        </w:rPr>
      </w:pPr>
    </w:p>
    <w:p w14:paraId="14EB3EA5" w14:textId="77777777" w:rsidR="005E23AC" w:rsidRPr="000D5CB8" w:rsidRDefault="005E23AC" w:rsidP="000D5CB8">
      <w:pPr>
        <w:rPr>
          <w:rFonts w:asciiTheme="majorHAnsi" w:eastAsia="Times New Roman" w:hAnsiTheme="majorHAnsi" w:cstheme="majorHAnsi"/>
        </w:rPr>
      </w:pPr>
    </w:p>
    <w:p w14:paraId="1FCF088D" w14:textId="77777777" w:rsidR="005E23AC" w:rsidRPr="000D5CB8" w:rsidRDefault="005E23AC" w:rsidP="000D5CB8">
      <w:pPr>
        <w:rPr>
          <w:rFonts w:asciiTheme="majorHAnsi" w:eastAsia="Times New Roman" w:hAnsiTheme="majorHAnsi" w:cstheme="majorHAnsi"/>
        </w:rPr>
      </w:pPr>
    </w:p>
    <w:p w14:paraId="6487BD12" w14:textId="77777777" w:rsidR="005E23AC" w:rsidRPr="000D5CB8" w:rsidRDefault="005E23AC" w:rsidP="000D5CB8">
      <w:pPr>
        <w:rPr>
          <w:rFonts w:asciiTheme="majorHAnsi" w:eastAsia="Times New Roman" w:hAnsiTheme="majorHAnsi" w:cstheme="majorHAnsi"/>
        </w:rPr>
      </w:pPr>
    </w:p>
    <w:p w14:paraId="466D500D" w14:textId="77777777" w:rsidR="005E23AC" w:rsidRPr="000D5CB8" w:rsidRDefault="005E23AC" w:rsidP="000D5CB8">
      <w:pPr>
        <w:rPr>
          <w:rFonts w:asciiTheme="majorHAnsi" w:eastAsia="Times New Roman" w:hAnsiTheme="majorHAnsi" w:cstheme="majorHAnsi"/>
        </w:rPr>
      </w:pPr>
    </w:p>
    <w:p w14:paraId="6AA4EDDE" w14:textId="77777777" w:rsidR="005E23AC" w:rsidRPr="000D5CB8" w:rsidRDefault="005E23AC" w:rsidP="000D5CB8">
      <w:pPr>
        <w:rPr>
          <w:rFonts w:asciiTheme="majorHAnsi" w:eastAsia="Times New Roman" w:hAnsiTheme="majorHAnsi" w:cstheme="majorHAnsi"/>
        </w:rPr>
      </w:pPr>
    </w:p>
    <w:p w14:paraId="5446541C" w14:textId="77777777" w:rsidR="005E23AC" w:rsidRPr="000D5CB8" w:rsidRDefault="005E23AC" w:rsidP="000D5CB8">
      <w:pPr>
        <w:rPr>
          <w:rFonts w:asciiTheme="majorHAnsi" w:eastAsia="Times New Roman" w:hAnsiTheme="majorHAnsi" w:cstheme="majorHAnsi"/>
        </w:rPr>
      </w:pPr>
    </w:p>
    <w:p w14:paraId="46A077C1" w14:textId="77777777" w:rsidR="00CD20AD" w:rsidRDefault="00CD20AD" w:rsidP="000D5CB8">
      <w:pPr>
        <w:jc w:val="center"/>
        <w:rPr>
          <w:rFonts w:asciiTheme="majorHAnsi" w:eastAsia="Times New Roman" w:hAnsiTheme="majorHAnsi" w:cstheme="majorHAnsi"/>
          <w:b/>
        </w:rPr>
      </w:pPr>
    </w:p>
    <w:p w14:paraId="63180F6E" w14:textId="77777777" w:rsidR="00CD20AD" w:rsidRDefault="00CD20AD" w:rsidP="000D5CB8">
      <w:pPr>
        <w:jc w:val="center"/>
        <w:rPr>
          <w:rFonts w:asciiTheme="majorHAnsi" w:eastAsia="Times New Roman" w:hAnsiTheme="majorHAnsi" w:cstheme="majorHAnsi"/>
          <w:b/>
        </w:rPr>
      </w:pPr>
    </w:p>
    <w:p w14:paraId="291596AE" w14:textId="151F0BE5" w:rsidR="005E23AC" w:rsidRPr="000D5CB8" w:rsidRDefault="006A3099" w:rsidP="000D5CB8">
      <w:pPr>
        <w:jc w:val="center"/>
        <w:rPr>
          <w:rFonts w:asciiTheme="majorHAnsi" w:eastAsia="Times New Roman" w:hAnsiTheme="majorHAnsi" w:cstheme="majorHAnsi"/>
          <w:b/>
        </w:rPr>
      </w:pPr>
      <w:r w:rsidRPr="000D5CB8">
        <w:rPr>
          <w:rFonts w:asciiTheme="majorHAnsi" w:eastAsia="Times New Roman" w:hAnsiTheme="majorHAnsi" w:cstheme="majorHAnsi"/>
          <w:b/>
        </w:rPr>
        <w:lastRenderedPageBreak/>
        <w:t>ABBREVIATIONS</w:t>
      </w:r>
    </w:p>
    <w:p w14:paraId="3C426941" w14:textId="77777777" w:rsidR="005E23AC" w:rsidRPr="000D5CB8" w:rsidRDefault="005E23AC" w:rsidP="000D5CB8">
      <w:pPr>
        <w:jc w:val="center"/>
        <w:rPr>
          <w:rFonts w:asciiTheme="majorHAnsi" w:eastAsia="Times New Roman" w:hAnsiTheme="majorHAnsi" w:cstheme="majorHAnsi"/>
          <w:b/>
        </w:rPr>
      </w:pPr>
    </w:p>
    <w:p w14:paraId="5ACCA67F" w14:textId="77777777" w:rsidR="005E23AC" w:rsidRPr="000D5CB8" w:rsidRDefault="005E23AC" w:rsidP="000D5CB8">
      <w:pPr>
        <w:jc w:val="center"/>
        <w:rPr>
          <w:rFonts w:asciiTheme="majorHAnsi" w:eastAsia="Times New Roman" w:hAnsiTheme="majorHAnsi" w:cstheme="majorHAnsi"/>
          <w:b/>
        </w:rPr>
      </w:pPr>
    </w:p>
    <w:p w14:paraId="781C45B4" w14:textId="77777777" w:rsidR="005E23AC" w:rsidRPr="000D5CB8" w:rsidRDefault="005E23AC" w:rsidP="000D5CB8">
      <w:pPr>
        <w:jc w:val="center"/>
        <w:rPr>
          <w:rFonts w:asciiTheme="majorHAnsi" w:eastAsia="Times New Roman" w:hAnsiTheme="majorHAnsi" w:cstheme="majorHAnsi"/>
          <w:b/>
        </w:rPr>
      </w:pPr>
    </w:p>
    <w:p w14:paraId="6FAAF5FC"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ANRW- </w:t>
      </w:r>
      <w:proofErr w:type="spellStart"/>
      <w:r w:rsidRPr="000D5CB8">
        <w:rPr>
          <w:rFonts w:asciiTheme="majorHAnsi" w:eastAsia="Times New Roman" w:hAnsiTheme="majorHAnsi" w:cstheme="majorHAnsi"/>
        </w:rPr>
        <w:t>Aufstieg</w:t>
      </w:r>
      <w:proofErr w:type="spellEnd"/>
      <w:r w:rsidRPr="000D5CB8">
        <w:rPr>
          <w:rFonts w:asciiTheme="majorHAnsi" w:eastAsia="Times New Roman" w:hAnsiTheme="majorHAnsi" w:cstheme="majorHAnsi"/>
        </w:rPr>
        <w:t xml:space="preserve"> und </w:t>
      </w:r>
      <w:proofErr w:type="spellStart"/>
      <w:r w:rsidRPr="000D5CB8">
        <w:rPr>
          <w:rFonts w:asciiTheme="majorHAnsi" w:eastAsia="Times New Roman" w:hAnsiTheme="majorHAnsi" w:cstheme="majorHAnsi"/>
        </w:rPr>
        <w:t>Niedergang</w:t>
      </w:r>
      <w:proofErr w:type="spellEnd"/>
      <w:r w:rsidRPr="000D5CB8">
        <w:rPr>
          <w:rFonts w:asciiTheme="majorHAnsi" w:eastAsia="Times New Roman" w:hAnsiTheme="majorHAnsi" w:cstheme="majorHAnsi"/>
        </w:rPr>
        <w:t xml:space="preserve"> der </w:t>
      </w:r>
      <w:proofErr w:type="spellStart"/>
      <w:r w:rsidRPr="000D5CB8">
        <w:rPr>
          <w:rFonts w:asciiTheme="majorHAnsi" w:eastAsia="Times New Roman" w:hAnsiTheme="majorHAnsi" w:cstheme="majorHAnsi"/>
        </w:rPr>
        <w:t>römischen</w:t>
      </w:r>
      <w:proofErr w:type="spellEnd"/>
      <w:r w:rsidRPr="000D5CB8">
        <w:rPr>
          <w:rFonts w:asciiTheme="majorHAnsi" w:eastAsia="Times New Roman" w:hAnsiTheme="majorHAnsi" w:cstheme="majorHAnsi"/>
        </w:rPr>
        <w:t xml:space="preserve"> Welt</w:t>
      </w:r>
    </w:p>
    <w:p w14:paraId="0CABBE75"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DSS- Dead Sea Scrolls</w:t>
      </w:r>
    </w:p>
    <w:p w14:paraId="33B6565C"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ECF- Early Church Fathers </w:t>
      </w:r>
    </w:p>
    <w:p w14:paraId="751BE8AD" w14:textId="77777777" w:rsidR="005E23AC" w:rsidRPr="000D5CB8" w:rsidRDefault="006A3099" w:rsidP="000D5CB8">
      <w:pPr>
        <w:rPr>
          <w:rFonts w:asciiTheme="majorHAnsi" w:eastAsia="Times New Roman" w:hAnsiTheme="majorHAnsi" w:cstheme="majorHAnsi"/>
        </w:rPr>
      </w:pPr>
      <w:proofErr w:type="spellStart"/>
      <w:r w:rsidRPr="000D5CB8">
        <w:rPr>
          <w:rFonts w:asciiTheme="majorHAnsi" w:eastAsia="Times New Roman" w:hAnsiTheme="majorHAnsi" w:cstheme="majorHAnsi"/>
        </w:rPr>
        <w:t>EvT</w:t>
      </w:r>
      <w:proofErr w:type="spellEnd"/>
      <w:r w:rsidRPr="000D5CB8">
        <w:rPr>
          <w:rFonts w:asciiTheme="majorHAnsi" w:eastAsia="Times New Roman" w:hAnsiTheme="majorHAnsi" w:cstheme="majorHAnsi"/>
        </w:rPr>
        <w:t xml:space="preserve">- </w:t>
      </w:r>
      <w:proofErr w:type="spellStart"/>
      <w:r w:rsidRPr="000D5CB8">
        <w:rPr>
          <w:rFonts w:asciiTheme="majorHAnsi" w:eastAsia="Times New Roman" w:hAnsiTheme="majorHAnsi" w:cstheme="majorHAnsi"/>
        </w:rPr>
        <w:t>Evangelische</w:t>
      </w:r>
      <w:proofErr w:type="spellEnd"/>
      <w:r w:rsidRPr="000D5CB8">
        <w:rPr>
          <w:rFonts w:asciiTheme="majorHAnsi" w:eastAsia="Times New Roman" w:hAnsiTheme="majorHAnsi" w:cstheme="majorHAnsi"/>
        </w:rPr>
        <w:t xml:space="preserve"> </w:t>
      </w:r>
      <w:proofErr w:type="spellStart"/>
      <w:r w:rsidRPr="000D5CB8">
        <w:rPr>
          <w:rFonts w:asciiTheme="majorHAnsi" w:eastAsia="Times New Roman" w:hAnsiTheme="majorHAnsi" w:cstheme="majorHAnsi"/>
        </w:rPr>
        <w:t>Theologie</w:t>
      </w:r>
      <w:proofErr w:type="spellEnd"/>
      <w:r w:rsidRPr="000D5CB8">
        <w:rPr>
          <w:rFonts w:asciiTheme="majorHAnsi" w:eastAsia="Times New Roman" w:hAnsiTheme="majorHAnsi" w:cstheme="majorHAnsi"/>
        </w:rPr>
        <w:t xml:space="preserve"> </w:t>
      </w:r>
    </w:p>
    <w:p w14:paraId="4ABA2C35"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JBL- Journal of Biblical Literature</w:t>
      </w:r>
    </w:p>
    <w:p w14:paraId="633ED4BA"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JETS- Journal of the Evangelical Theological Society</w:t>
      </w:r>
    </w:p>
    <w:p w14:paraId="7C73DDDA"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JSNT- Journal for the Study of New Testament</w:t>
      </w:r>
    </w:p>
    <w:p w14:paraId="0412DED2"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NAC- New American Commentary</w:t>
      </w:r>
    </w:p>
    <w:p w14:paraId="62FAE40C"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NCBC- New Covenant Biblical Commentary</w:t>
      </w:r>
    </w:p>
    <w:p w14:paraId="4E0B7E52"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NIB- New Interpreter's Bible Commentary</w:t>
      </w:r>
    </w:p>
    <w:p w14:paraId="29F9E117"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NICNT- New International Commentary on the New Testament </w:t>
      </w:r>
    </w:p>
    <w:p w14:paraId="723CE5E7"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NICOT- New International Commentary on the Old Testament</w:t>
      </w:r>
    </w:p>
    <w:p w14:paraId="254CB1C0"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NPP- New Perspective on Paul</w:t>
      </w:r>
    </w:p>
    <w:p w14:paraId="0A4BDCB5"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NT- New Testament</w:t>
      </w:r>
    </w:p>
    <w:p w14:paraId="1B5EC9F2"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NTS- New Testament Studies</w:t>
      </w:r>
    </w:p>
    <w:p w14:paraId="1E76199D"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OPP- Old Perspective on Paul</w:t>
      </w:r>
    </w:p>
    <w:p w14:paraId="33C16790"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OT- Old Testament</w:t>
      </w:r>
    </w:p>
    <w:p w14:paraId="1DAEDCC0"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SBL- Society of Biblical Literature</w:t>
      </w:r>
    </w:p>
    <w:p w14:paraId="585778A2"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SNTSMS- Society for New Testament Studies Monograph Series</w:t>
      </w:r>
    </w:p>
    <w:p w14:paraId="2EBBB240"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TNTC- Tyndale New Testament Commentary</w:t>
      </w:r>
    </w:p>
    <w:p w14:paraId="71B1FB18"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WBC- Word Biblical Commentary</w:t>
      </w:r>
    </w:p>
    <w:p w14:paraId="53FAAA40" w14:textId="77777777" w:rsidR="005E23AC" w:rsidRPr="000D5CB8" w:rsidRDefault="005E23AC" w:rsidP="000D5CB8">
      <w:pPr>
        <w:jc w:val="center"/>
        <w:rPr>
          <w:rFonts w:asciiTheme="majorHAnsi" w:eastAsia="Times New Roman" w:hAnsiTheme="majorHAnsi" w:cstheme="majorHAnsi"/>
          <w:b/>
        </w:rPr>
      </w:pPr>
    </w:p>
    <w:p w14:paraId="52622DB2" w14:textId="77777777" w:rsidR="005E23AC" w:rsidRPr="000D5CB8" w:rsidRDefault="005E23AC" w:rsidP="000D5CB8">
      <w:pPr>
        <w:jc w:val="center"/>
        <w:rPr>
          <w:rFonts w:asciiTheme="majorHAnsi" w:eastAsia="Times New Roman" w:hAnsiTheme="majorHAnsi" w:cstheme="majorHAnsi"/>
          <w:b/>
        </w:rPr>
      </w:pPr>
    </w:p>
    <w:p w14:paraId="1B7FD457" w14:textId="77777777" w:rsidR="005E23AC" w:rsidRPr="000D5CB8" w:rsidRDefault="005E23AC" w:rsidP="000D5CB8">
      <w:pPr>
        <w:jc w:val="center"/>
        <w:rPr>
          <w:rFonts w:asciiTheme="majorHAnsi" w:eastAsia="Times New Roman" w:hAnsiTheme="majorHAnsi" w:cstheme="majorHAnsi"/>
          <w:b/>
        </w:rPr>
      </w:pPr>
    </w:p>
    <w:p w14:paraId="1201DCCF" w14:textId="77777777" w:rsidR="005E23AC" w:rsidRPr="000D5CB8" w:rsidRDefault="005E23AC" w:rsidP="000D5CB8">
      <w:pPr>
        <w:jc w:val="center"/>
        <w:rPr>
          <w:rFonts w:asciiTheme="majorHAnsi" w:eastAsia="Times New Roman" w:hAnsiTheme="majorHAnsi" w:cstheme="majorHAnsi"/>
          <w:b/>
        </w:rPr>
      </w:pPr>
    </w:p>
    <w:p w14:paraId="6C80A473" w14:textId="77777777" w:rsidR="005E23AC" w:rsidRPr="000D5CB8" w:rsidRDefault="005E23AC" w:rsidP="000D5CB8">
      <w:pPr>
        <w:jc w:val="center"/>
        <w:rPr>
          <w:rFonts w:asciiTheme="majorHAnsi" w:eastAsia="Times New Roman" w:hAnsiTheme="majorHAnsi" w:cstheme="majorHAnsi"/>
          <w:b/>
        </w:rPr>
      </w:pPr>
    </w:p>
    <w:p w14:paraId="1E31B2E9" w14:textId="77777777" w:rsidR="005E23AC" w:rsidRPr="000D5CB8" w:rsidRDefault="005E23AC" w:rsidP="000D5CB8">
      <w:pPr>
        <w:jc w:val="center"/>
        <w:rPr>
          <w:rFonts w:asciiTheme="majorHAnsi" w:eastAsia="Times New Roman" w:hAnsiTheme="majorHAnsi" w:cstheme="majorHAnsi"/>
          <w:b/>
        </w:rPr>
      </w:pPr>
    </w:p>
    <w:p w14:paraId="73A9541B" w14:textId="77777777" w:rsidR="005E23AC" w:rsidRPr="000D5CB8" w:rsidRDefault="005E23AC" w:rsidP="000D5CB8">
      <w:pPr>
        <w:jc w:val="center"/>
        <w:rPr>
          <w:rFonts w:asciiTheme="majorHAnsi" w:eastAsia="Times New Roman" w:hAnsiTheme="majorHAnsi" w:cstheme="majorHAnsi"/>
          <w:b/>
        </w:rPr>
      </w:pPr>
    </w:p>
    <w:p w14:paraId="420C8A3E" w14:textId="77777777" w:rsidR="005E23AC" w:rsidRPr="000D5CB8" w:rsidRDefault="005E23AC" w:rsidP="000D5CB8">
      <w:pPr>
        <w:jc w:val="center"/>
        <w:rPr>
          <w:rFonts w:asciiTheme="majorHAnsi" w:eastAsia="Times New Roman" w:hAnsiTheme="majorHAnsi" w:cstheme="majorHAnsi"/>
          <w:b/>
        </w:rPr>
      </w:pPr>
    </w:p>
    <w:p w14:paraId="76203EDE" w14:textId="77777777" w:rsidR="005E23AC" w:rsidRPr="000D5CB8" w:rsidRDefault="005E23AC" w:rsidP="000D5CB8">
      <w:pPr>
        <w:jc w:val="center"/>
        <w:rPr>
          <w:rFonts w:asciiTheme="majorHAnsi" w:eastAsia="Times New Roman" w:hAnsiTheme="majorHAnsi" w:cstheme="majorHAnsi"/>
          <w:b/>
        </w:rPr>
      </w:pPr>
    </w:p>
    <w:p w14:paraId="4E18BC64" w14:textId="77777777" w:rsidR="005E23AC" w:rsidRPr="000D5CB8" w:rsidRDefault="005E23AC" w:rsidP="000D5CB8">
      <w:pPr>
        <w:jc w:val="center"/>
        <w:rPr>
          <w:rFonts w:asciiTheme="majorHAnsi" w:eastAsia="Times New Roman" w:hAnsiTheme="majorHAnsi" w:cstheme="majorHAnsi"/>
          <w:b/>
        </w:rPr>
      </w:pPr>
    </w:p>
    <w:p w14:paraId="260017FB" w14:textId="77777777" w:rsidR="005E23AC" w:rsidRPr="000D5CB8" w:rsidRDefault="005E23AC" w:rsidP="000D5CB8">
      <w:pPr>
        <w:jc w:val="center"/>
        <w:rPr>
          <w:rFonts w:asciiTheme="majorHAnsi" w:eastAsia="Times New Roman" w:hAnsiTheme="majorHAnsi" w:cstheme="majorHAnsi"/>
          <w:b/>
        </w:rPr>
      </w:pPr>
    </w:p>
    <w:p w14:paraId="6CA4AEE1" w14:textId="77777777" w:rsidR="005E23AC" w:rsidRPr="000D5CB8" w:rsidRDefault="005E23AC" w:rsidP="000D5CB8">
      <w:pPr>
        <w:jc w:val="center"/>
        <w:rPr>
          <w:rFonts w:asciiTheme="majorHAnsi" w:eastAsia="Times New Roman" w:hAnsiTheme="majorHAnsi" w:cstheme="majorHAnsi"/>
          <w:b/>
        </w:rPr>
      </w:pPr>
    </w:p>
    <w:p w14:paraId="04D5DE82" w14:textId="77777777" w:rsidR="005E23AC" w:rsidRPr="000D5CB8" w:rsidRDefault="005E23AC" w:rsidP="000D5CB8">
      <w:pPr>
        <w:jc w:val="center"/>
        <w:rPr>
          <w:rFonts w:asciiTheme="majorHAnsi" w:eastAsia="Times New Roman" w:hAnsiTheme="majorHAnsi" w:cstheme="majorHAnsi"/>
          <w:b/>
        </w:rPr>
      </w:pPr>
    </w:p>
    <w:p w14:paraId="1BC5E2F1" w14:textId="77777777" w:rsidR="005E23AC" w:rsidRPr="000D5CB8" w:rsidRDefault="005E23AC" w:rsidP="000D5CB8">
      <w:pPr>
        <w:jc w:val="center"/>
        <w:rPr>
          <w:rFonts w:asciiTheme="majorHAnsi" w:eastAsia="Times New Roman" w:hAnsiTheme="majorHAnsi" w:cstheme="majorHAnsi"/>
          <w:b/>
        </w:rPr>
      </w:pPr>
    </w:p>
    <w:p w14:paraId="119FF67E" w14:textId="77777777" w:rsidR="005E23AC" w:rsidRPr="000D5CB8" w:rsidRDefault="005E23AC" w:rsidP="000D5CB8">
      <w:pPr>
        <w:jc w:val="center"/>
        <w:rPr>
          <w:rFonts w:asciiTheme="majorHAnsi" w:eastAsia="Times New Roman" w:hAnsiTheme="majorHAnsi" w:cstheme="majorHAnsi"/>
          <w:b/>
        </w:rPr>
      </w:pPr>
    </w:p>
    <w:p w14:paraId="40C0096E" w14:textId="77777777" w:rsidR="005E23AC" w:rsidRPr="000D5CB8" w:rsidRDefault="005E23AC" w:rsidP="000D5CB8">
      <w:pPr>
        <w:jc w:val="center"/>
        <w:rPr>
          <w:rFonts w:asciiTheme="majorHAnsi" w:eastAsia="Times New Roman" w:hAnsiTheme="majorHAnsi" w:cstheme="majorHAnsi"/>
          <w:b/>
        </w:rPr>
      </w:pPr>
    </w:p>
    <w:p w14:paraId="223689A5" w14:textId="77777777" w:rsidR="005E23AC" w:rsidRPr="000D5CB8" w:rsidRDefault="005E23AC" w:rsidP="000D5CB8">
      <w:pPr>
        <w:jc w:val="center"/>
        <w:rPr>
          <w:rFonts w:asciiTheme="majorHAnsi" w:eastAsia="Times New Roman" w:hAnsiTheme="majorHAnsi" w:cstheme="majorHAnsi"/>
          <w:b/>
        </w:rPr>
      </w:pPr>
    </w:p>
    <w:p w14:paraId="214B39C3" w14:textId="77777777" w:rsidR="005E23AC" w:rsidRPr="000D5CB8" w:rsidRDefault="005E23AC" w:rsidP="000D5CB8">
      <w:pPr>
        <w:jc w:val="center"/>
        <w:rPr>
          <w:rFonts w:asciiTheme="majorHAnsi" w:eastAsia="Times New Roman" w:hAnsiTheme="majorHAnsi" w:cstheme="majorHAnsi"/>
          <w:b/>
        </w:rPr>
      </w:pPr>
    </w:p>
    <w:p w14:paraId="5DF3B7DE" w14:textId="77777777" w:rsidR="005E23AC" w:rsidRPr="000D5CB8" w:rsidRDefault="005E23AC" w:rsidP="000D5CB8">
      <w:pPr>
        <w:jc w:val="center"/>
        <w:rPr>
          <w:rFonts w:asciiTheme="majorHAnsi" w:eastAsia="Times New Roman" w:hAnsiTheme="majorHAnsi" w:cstheme="majorHAnsi"/>
          <w:b/>
        </w:rPr>
      </w:pPr>
    </w:p>
    <w:p w14:paraId="69E1AB2B" w14:textId="77777777" w:rsidR="005E23AC" w:rsidRPr="000D5CB8" w:rsidRDefault="005E23AC" w:rsidP="000D5CB8">
      <w:pPr>
        <w:rPr>
          <w:rFonts w:asciiTheme="majorHAnsi" w:eastAsia="Times New Roman" w:hAnsiTheme="majorHAnsi" w:cstheme="majorHAnsi"/>
          <w:b/>
        </w:rPr>
      </w:pPr>
    </w:p>
    <w:p w14:paraId="11708390" w14:textId="77777777" w:rsidR="005E23AC" w:rsidRPr="000D5CB8" w:rsidRDefault="005E23AC" w:rsidP="000D5CB8">
      <w:pPr>
        <w:rPr>
          <w:rFonts w:asciiTheme="majorHAnsi" w:eastAsia="Times New Roman" w:hAnsiTheme="majorHAnsi" w:cstheme="majorHAnsi"/>
          <w:b/>
        </w:rPr>
      </w:pPr>
    </w:p>
    <w:p w14:paraId="13289DF9" w14:textId="77777777" w:rsidR="00CD20AD" w:rsidRDefault="00CD20AD" w:rsidP="000D5CB8">
      <w:pPr>
        <w:jc w:val="center"/>
        <w:rPr>
          <w:rFonts w:asciiTheme="majorHAnsi" w:eastAsia="Times New Roman" w:hAnsiTheme="majorHAnsi" w:cstheme="majorHAnsi"/>
          <w:b/>
        </w:rPr>
      </w:pPr>
    </w:p>
    <w:p w14:paraId="2473F738" w14:textId="2D14D47E" w:rsidR="005E23AC" w:rsidRPr="000D5CB8" w:rsidRDefault="006A3099" w:rsidP="000D5CB8">
      <w:pPr>
        <w:jc w:val="center"/>
        <w:rPr>
          <w:rFonts w:asciiTheme="majorHAnsi" w:eastAsia="Times New Roman" w:hAnsiTheme="majorHAnsi" w:cstheme="majorHAnsi"/>
          <w:b/>
        </w:rPr>
      </w:pPr>
      <w:r w:rsidRPr="000D5CB8">
        <w:rPr>
          <w:rFonts w:asciiTheme="majorHAnsi" w:eastAsia="Times New Roman" w:hAnsiTheme="majorHAnsi" w:cstheme="majorHAnsi"/>
          <w:b/>
        </w:rPr>
        <w:lastRenderedPageBreak/>
        <w:t>TABLE OF CONTENTS</w:t>
      </w:r>
    </w:p>
    <w:p w14:paraId="0FDFD2E6" w14:textId="77777777" w:rsidR="005E23AC" w:rsidRPr="000D5CB8" w:rsidRDefault="005E23AC" w:rsidP="000D5CB8">
      <w:pPr>
        <w:jc w:val="center"/>
        <w:rPr>
          <w:rFonts w:asciiTheme="majorHAnsi" w:eastAsia="Times New Roman" w:hAnsiTheme="majorHAnsi" w:cstheme="majorHAnsi"/>
          <w:b/>
        </w:rPr>
      </w:pPr>
    </w:p>
    <w:p w14:paraId="18AA73D6" w14:textId="77777777" w:rsidR="005E23AC" w:rsidRPr="000D5CB8" w:rsidRDefault="005E23AC" w:rsidP="000D5CB8">
      <w:pPr>
        <w:jc w:val="center"/>
        <w:rPr>
          <w:rFonts w:asciiTheme="majorHAnsi" w:eastAsia="Times New Roman" w:hAnsiTheme="majorHAnsi" w:cstheme="majorHAnsi"/>
          <w:b/>
        </w:rPr>
      </w:pPr>
    </w:p>
    <w:p w14:paraId="5E2A87A5" w14:textId="77777777" w:rsidR="005E23AC" w:rsidRPr="000D5CB8" w:rsidRDefault="005E23AC" w:rsidP="000D5CB8">
      <w:pPr>
        <w:jc w:val="center"/>
        <w:rPr>
          <w:rFonts w:asciiTheme="majorHAnsi" w:eastAsia="Times New Roman" w:hAnsiTheme="majorHAnsi" w:cstheme="majorHAnsi"/>
          <w:b/>
        </w:rPr>
      </w:pPr>
    </w:p>
    <w:p w14:paraId="20A2B9E8"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b/>
        </w:rPr>
        <w:t xml:space="preserve">Acknowledgments </w:t>
      </w:r>
      <w:r w:rsidRPr="000D5CB8">
        <w:rPr>
          <w:rFonts w:asciiTheme="majorHAnsi" w:eastAsia="Times New Roman" w:hAnsiTheme="majorHAnsi" w:cstheme="majorHAnsi"/>
        </w:rPr>
        <w:t>……………………………………………………………………………… 2</w:t>
      </w:r>
    </w:p>
    <w:p w14:paraId="1DC2C184" w14:textId="3CC95ABF" w:rsidR="005E23AC" w:rsidRPr="000D5CB8" w:rsidRDefault="00CD20AD" w:rsidP="000D5CB8">
      <w:pPr>
        <w:rPr>
          <w:rFonts w:asciiTheme="majorHAnsi" w:eastAsia="Times New Roman" w:hAnsiTheme="majorHAnsi" w:cstheme="majorHAnsi"/>
        </w:rPr>
      </w:pPr>
      <w:r>
        <w:rPr>
          <w:rFonts w:asciiTheme="majorHAnsi" w:eastAsia="Times New Roman" w:hAnsiTheme="majorHAnsi" w:cstheme="majorHAnsi"/>
          <w:b/>
        </w:rPr>
        <w:t>FOREWORD</w:t>
      </w:r>
      <w:r w:rsidR="006A3099" w:rsidRPr="000D5CB8">
        <w:rPr>
          <w:rFonts w:asciiTheme="majorHAnsi" w:eastAsia="Times New Roman" w:hAnsiTheme="majorHAnsi" w:cstheme="majorHAnsi"/>
          <w:b/>
        </w:rPr>
        <w:t xml:space="preserve"> </w:t>
      </w:r>
      <w:r w:rsidR="006A3099" w:rsidRPr="000D5CB8">
        <w:rPr>
          <w:rFonts w:asciiTheme="majorHAnsi" w:eastAsia="Times New Roman" w:hAnsiTheme="majorHAnsi" w:cstheme="majorHAnsi"/>
        </w:rPr>
        <w:t>………………………………………………………………………………………... 3</w:t>
      </w:r>
    </w:p>
    <w:p w14:paraId="53869C53"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b/>
        </w:rPr>
        <w:t xml:space="preserve">Abbreviations </w:t>
      </w:r>
      <w:r w:rsidRPr="000D5CB8">
        <w:rPr>
          <w:rFonts w:asciiTheme="majorHAnsi" w:eastAsia="Times New Roman" w:hAnsiTheme="majorHAnsi" w:cstheme="majorHAnsi"/>
        </w:rPr>
        <w:t>……………………………………………………………………………………5</w:t>
      </w:r>
    </w:p>
    <w:p w14:paraId="6E27FEE8"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b/>
        </w:rPr>
        <w:t xml:space="preserve">Table of Contents </w:t>
      </w:r>
      <w:r w:rsidRPr="000D5CB8">
        <w:rPr>
          <w:rFonts w:asciiTheme="majorHAnsi" w:eastAsia="Times New Roman" w:hAnsiTheme="majorHAnsi" w:cstheme="majorHAnsi"/>
        </w:rPr>
        <w:t>………………………………………………………………………………6</w:t>
      </w:r>
    </w:p>
    <w:p w14:paraId="0F6AF38F" w14:textId="77777777" w:rsidR="005E23AC" w:rsidRPr="000D5CB8" w:rsidRDefault="005E23AC" w:rsidP="000D5CB8">
      <w:pPr>
        <w:rPr>
          <w:rFonts w:asciiTheme="majorHAnsi" w:eastAsia="Times New Roman" w:hAnsiTheme="majorHAnsi" w:cstheme="majorHAnsi"/>
          <w:u w:val="single"/>
        </w:rPr>
      </w:pPr>
    </w:p>
    <w:p w14:paraId="150E705F" w14:textId="77777777" w:rsidR="005E23AC" w:rsidRPr="000D5CB8" w:rsidRDefault="006A3099" w:rsidP="000D5CB8">
      <w:pPr>
        <w:rPr>
          <w:rFonts w:asciiTheme="majorHAnsi" w:eastAsia="Times New Roman" w:hAnsiTheme="majorHAnsi" w:cstheme="majorHAnsi"/>
          <w:u w:val="single"/>
        </w:rPr>
      </w:pPr>
      <w:r w:rsidRPr="000D5CB8">
        <w:rPr>
          <w:rFonts w:asciiTheme="majorHAnsi" w:eastAsia="Times New Roman" w:hAnsiTheme="majorHAnsi" w:cstheme="majorHAnsi"/>
          <w:u w:val="single"/>
        </w:rPr>
        <w:t>PART 1</w:t>
      </w:r>
    </w:p>
    <w:p w14:paraId="65F9A18F" w14:textId="77777777" w:rsidR="005E23AC" w:rsidRPr="000D5CB8" w:rsidRDefault="005E23AC" w:rsidP="000D5CB8">
      <w:pPr>
        <w:rPr>
          <w:rFonts w:asciiTheme="majorHAnsi" w:eastAsia="Times New Roman" w:hAnsiTheme="majorHAnsi" w:cstheme="majorHAnsi"/>
          <w:b/>
        </w:rPr>
      </w:pPr>
    </w:p>
    <w:p w14:paraId="34B7DBDE"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b/>
        </w:rPr>
        <w:t>Chapter 1: Introduction, Research Questions, and Methodology ………………………</w:t>
      </w:r>
      <w:proofErr w:type="gramStart"/>
      <w:r w:rsidRPr="000D5CB8">
        <w:rPr>
          <w:rFonts w:asciiTheme="majorHAnsi" w:eastAsia="Times New Roman" w:hAnsiTheme="majorHAnsi" w:cstheme="majorHAnsi"/>
          <w:b/>
        </w:rPr>
        <w:t>…..</w:t>
      </w:r>
      <w:proofErr w:type="gramEnd"/>
      <w:r w:rsidRPr="000D5CB8">
        <w:rPr>
          <w:rFonts w:asciiTheme="majorHAnsi" w:eastAsia="Times New Roman" w:hAnsiTheme="majorHAnsi" w:cstheme="majorHAnsi"/>
          <w:b/>
        </w:rPr>
        <w:t xml:space="preserve"> 8</w:t>
      </w:r>
    </w:p>
    <w:p w14:paraId="0C7AA33A"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1.1 Setting out the Task …………………………………………………………………………10</w:t>
      </w:r>
    </w:p>
    <w:p w14:paraId="57D497CC" w14:textId="77777777" w:rsidR="005E23AC" w:rsidRPr="000D5CB8" w:rsidRDefault="006A3099" w:rsidP="000D5CB8">
      <w:pPr>
        <w:ind w:left="720"/>
        <w:rPr>
          <w:rFonts w:asciiTheme="majorHAnsi" w:eastAsia="Times New Roman" w:hAnsiTheme="majorHAnsi" w:cstheme="majorHAnsi"/>
        </w:rPr>
      </w:pPr>
      <w:r w:rsidRPr="000D5CB8">
        <w:rPr>
          <w:rFonts w:asciiTheme="majorHAnsi" w:eastAsia="Times New Roman" w:hAnsiTheme="majorHAnsi" w:cstheme="majorHAnsi"/>
        </w:rPr>
        <w:t>1.1.1 Differing Approaches to Romans 13:1-7, 1 Peter 2:13-17, and Revelation 13 on the Christian Response to Empire …………………………………………………………...10</w:t>
      </w:r>
    </w:p>
    <w:p w14:paraId="11D06200"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1.1.2 A New Proposal: A Deuteronomy 32 Worldview Framework ……………………28</w:t>
      </w:r>
    </w:p>
    <w:p w14:paraId="024C5B44"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1.2 Research Process …………………………………………………………………………….30</w:t>
      </w:r>
    </w:p>
    <w:p w14:paraId="4655FB32"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1.2.1 Research Questions………………………………………………………………   30</w:t>
      </w:r>
    </w:p>
    <w:p w14:paraId="6B928F8B"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1.3 Methodology and Assumption ………………………………………………………………31</w:t>
      </w:r>
    </w:p>
    <w:p w14:paraId="7099CB4B" w14:textId="77777777" w:rsidR="005E23AC" w:rsidRPr="000D5CB8" w:rsidRDefault="006A3099" w:rsidP="000D5CB8">
      <w:pPr>
        <w:ind w:left="720"/>
        <w:rPr>
          <w:rFonts w:asciiTheme="majorHAnsi" w:eastAsia="Times New Roman" w:hAnsiTheme="majorHAnsi" w:cstheme="majorHAnsi"/>
        </w:rPr>
      </w:pPr>
      <w:r w:rsidRPr="000D5CB8">
        <w:rPr>
          <w:rFonts w:asciiTheme="majorHAnsi" w:eastAsia="Times New Roman" w:hAnsiTheme="majorHAnsi" w:cstheme="majorHAnsi"/>
        </w:rPr>
        <w:t xml:space="preserve">1.3.1 Survey the Deuteronomy 32 Worldview of the Old Testament, Second Temple, and the New Testament………………………………………………………………………31 </w:t>
      </w:r>
    </w:p>
    <w:p w14:paraId="5718E991"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1.3.2 Compare the Major New Testament Passages on the Christian ………………......32</w:t>
      </w:r>
    </w:p>
    <w:p w14:paraId="71C53A1D"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1.3.3 The Socio-Rhetorical Exegesis …………………………………………… ……...32</w:t>
      </w:r>
    </w:p>
    <w:p w14:paraId="36534D97"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1.3.4 Interpretive Methods and Trajectories…………………………………………</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35</w:t>
      </w:r>
    </w:p>
    <w:p w14:paraId="34D478CA"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1.3.5 Scope and Limitations…………………………………………………………. ….38 </w:t>
      </w:r>
    </w:p>
    <w:p w14:paraId="562ABC8A"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1.4 Plan of Study………………………………………………………………………………....38</w:t>
      </w:r>
    </w:p>
    <w:p w14:paraId="408FEE32" w14:textId="77777777" w:rsidR="005E23AC" w:rsidRPr="000D5CB8" w:rsidRDefault="005E23AC" w:rsidP="000D5CB8">
      <w:pPr>
        <w:rPr>
          <w:rFonts w:asciiTheme="majorHAnsi" w:eastAsia="Times New Roman" w:hAnsiTheme="majorHAnsi" w:cstheme="majorHAnsi"/>
        </w:rPr>
      </w:pPr>
    </w:p>
    <w:p w14:paraId="6CB1DBDD" w14:textId="77777777" w:rsidR="005E23AC" w:rsidRPr="000D5CB8" w:rsidRDefault="006A3099" w:rsidP="000D5CB8">
      <w:pPr>
        <w:rPr>
          <w:rFonts w:asciiTheme="majorHAnsi" w:eastAsia="Times New Roman" w:hAnsiTheme="majorHAnsi" w:cstheme="majorHAnsi"/>
          <w:b/>
        </w:rPr>
      </w:pPr>
      <w:r w:rsidRPr="000D5CB8">
        <w:rPr>
          <w:rFonts w:asciiTheme="majorHAnsi" w:eastAsia="Times New Roman" w:hAnsiTheme="majorHAnsi" w:cstheme="majorHAnsi"/>
          <w:b/>
        </w:rPr>
        <w:t>Chapter 2: The Deuteronomy 32 Worldview Framework…………………………………...41</w:t>
      </w:r>
    </w:p>
    <w:p w14:paraId="7E4C961B"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2.1 Introduction: The Supernatural Worldview of the Old Testament………………………</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41</w:t>
      </w:r>
    </w:p>
    <w:p w14:paraId="5B278E81"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2.1.1 Spiritual Beings ………………………………………………………………… ...42</w:t>
      </w:r>
    </w:p>
    <w:p w14:paraId="1792DF14"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2.1.2 The Satan in the Old Testament …………………………………………………...49</w:t>
      </w:r>
    </w:p>
    <w:p w14:paraId="7884D189"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2.1.3 The Image of God………………………………………………………………….61</w:t>
      </w:r>
    </w:p>
    <w:p w14:paraId="1A677BB8"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2.2 The Supernatural Narrative of the Old Testament ………………………………………</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66</w:t>
      </w:r>
    </w:p>
    <w:p w14:paraId="0F01FA91"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2.2.1 The Three Rebellions ……………………………………………………………...67</w:t>
      </w:r>
    </w:p>
    <w:p w14:paraId="59F65368"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2.2.2 The Animating Power Behind Empire …………………………………………...100</w:t>
      </w:r>
    </w:p>
    <w:p w14:paraId="59EAA89A" w14:textId="77777777" w:rsidR="005E23AC" w:rsidRPr="000D5CB8" w:rsidRDefault="005E23AC" w:rsidP="000D5CB8">
      <w:pPr>
        <w:rPr>
          <w:rFonts w:asciiTheme="majorHAnsi" w:eastAsia="Times New Roman" w:hAnsiTheme="majorHAnsi" w:cstheme="majorHAnsi"/>
          <w:b/>
        </w:rPr>
      </w:pPr>
    </w:p>
    <w:p w14:paraId="1A530466" w14:textId="77777777" w:rsidR="005E23AC" w:rsidRPr="000D5CB8" w:rsidRDefault="006A3099" w:rsidP="000D5CB8">
      <w:pPr>
        <w:rPr>
          <w:rFonts w:asciiTheme="majorHAnsi" w:eastAsia="Times New Roman" w:hAnsiTheme="majorHAnsi" w:cstheme="majorHAnsi"/>
          <w:b/>
        </w:rPr>
      </w:pPr>
      <w:r w:rsidRPr="000D5CB8">
        <w:rPr>
          <w:rFonts w:asciiTheme="majorHAnsi" w:eastAsia="Times New Roman" w:hAnsiTheme="majorHAnsi" w:cstheme="majorHAnsi"/>
          <w:b/>
        </w:rPr>
        <w:t>Chapter 3: The Deuteronomy 32 Worldview in the New Testament………………………113</w:t>
      </w:r>
    </w:p>
    <w:p w14:paraId="7DDC7878"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3.1 The Kingdom of God……………………………………………………………………….113</w:t>
      </w:r>
    </w:p>
    <w:p w14:paraId="0E06955F"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3.1.1 Exile………………………………………………………………………………113</w:t>
      </w:r>
    </w:p>
    <w:p w14:paraId="2D9D2811"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3.1.2 The Gospel……………………………………………………………………</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122</w:t>
      </w:r>
    </w:p>
    <w:p w14:paraId="0116E3C1"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3.1.3 Diverse Visions of How the Kingdom Will Come……………………………….130</w:t>
      </w:r>
    </w:p>
    <w:p w14:paraId="662C12D7"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3.1.4 Kingdom of God………………………………………………………………….136</w:t>
      </w:r>
    </w:p>
    <w:p w14:paraId="43DBB6FF"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3.2 Principalities and Power in the New Testament……………………………………………148</w:t>
      </w:r>
    </w:p>
    <w:p w14:paraId="5F08215D"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3.2.1 Jesus and Empire………………………………</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 xml:space="preserve"> …………………………….148</w:t>
      </w:r>
    </w:p>
    <w:p w14:paraId="55F4C6A0"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3.2.2 The Cross and the Powers……………………………………………………</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170</w:t>
      </w:r>
    </w:p>
    <w:p w14:paraId="2A74B9CC"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3.2.3 Inaugurated Eschatology…………………………………………………………178</w:t>
      </w:r>
    </w:p>
    <w:p w14:paraId="5B08A07F" w14:textId="77777777" w:rsidR="005E23AC" w:rsidRPr="000D5CB8" w:rsidRDefault="006A3099" w:rsidP="000D5CB8">
      <w:pPr>
        <w:rPr>
          <w:rFonts w:asciiTheme="majorHAnsi" w:eastAsia="Times New Roman" w:hAnsiTheme="majorHAnsi" w:cstheme="majorHAnsi"/>
          <w:u w:val="single"/>
        </w:rPr>
      </w:pPr>
      <w:r w:rsidRPr="000D5CB8">
        <w:rPr>
          <w:rFonts w:asciiTheme="majorHAnsi" w:eastAsia="Times New Roman" w:hAnsiTheme="majorHAnsi" w:cstheme="majorHAnsi"/>
          <w:u w:val="single"/>
        </w:rPr>
        <w:t>PART 2</w:t>
      </w:r>
    </w:p>
    <w:p w14:paraId="75021CB9" w14:textId="77777777" w:rsidR="005E23AC" w:rsidRPr="000D5CB8" w:rsidRDefault="005E23AC" w:rsidP="000D5CB8">
      <w:pPr>
        <w:rPr>
          <w:rFonts w:asciiTheme="majorHAnsi" w:eastAsia="Times New Roman" w:hAnsiTheme="majorHAnsi" w:cstheme="majorHAnsi"/>
          <w:b/>
        </w:rPr>
      </w:pPr>
    </w:p>
    <w:p w14:paraId="6D14D752" w14:textId="77777777" w:rsidR="005E23AC" w:rsidRPr="000D5CB8" w:rsidRDefault="006A3099" w:rsidP="000D5CB8">
      <w:pPr>
        <w:rPr>
          <w:rFonts w:asciiTheme="majorHAnsi" w:eastAsia="Times New Roman" w:hAnsiTheme="majorHAnsi" w:cstheme="majorHAnsi"/>
          <w:b/>
        </w:rPr>
      </w:pPr>
      <w:r w:rsidRPr="000D5CB8">
        <w:rPr>
          <w:rFonts w:asciiTheme="majorHAnsi" w:eastAsia="Times New Roman" w:hAnsiTheme="majorHAnsi" w:cstheme="majorHAnsi"/>
          <w:b/>
        </w:rPr>
        <w:t>Chapter 4: Exiles and Empire: The Submission Texts (Romans 13:1-7 and 1 Peter 2:13-</w:t>
      </w:r>
      <w:proofErr w:type="gramStart"/>
      <w:r w:rsidRPr="000D5CB8">
        <w:rPr>
          <w:rFonts w:asciiTheme="majorHAnsi" w:eastAsia="Times New Roman" w:hAnsiTheme="majorHAnsi" w:cstheme="majorHAnsi"/>
          <w:b/>
        </w:rPr>
        <w:t>17)…</w:t>
      </w:r>
      <w:proofErr w:type="gramEnd"/>
      <w:r w:rsidRPr="000D5CB8">
        <w:rPr>
          <w:rFonts w:asciiTheme="majorHAnsi" w:eastAsia="Times New Roman" w:hAnsiTheme="majorHAnsi" w:cstheme="majorHAnsi"/>
          <w:b/>
        </w:rPr>
        <w:t>……………………………………………………………………………………201</w:t>
      </w:r>
    </w:p>
    <w:p w14:paraId="53955734"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4.1 Background, Audience, and Occasion of Romans…………………………………………201</w:t>
      </w:r>
    </w:p>
    <w:p w14:paraId="233F4DD1"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4.1.1 Romans Overview and Deuteronomy 32 Worldview …………………………...201</w:t>
      </w:r>
    </w:p>
    <w:p w14:paraId="4E99224B"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4.1.2 Exegesis: Romans 13:1-7………………………………………………………...212</w:t>
      </w:r>
    </w:p>
    <w:p w14:paraId="63C56924"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4.1.3 Summary and Conclusions……………………………………………………….235</w:t>
      </w:r>
    </w:p>
    <w:p w14:paraId="275F7860"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4.2 Background, Audience, and Occasion of 1 Peter………………………………………</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240</w:t>
      </w:r>
    </w:p>
    <w:p w14:paraId="1499BCBD"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4.2.1 1 Peter Overview and Deuteronomy 32 Worldview…………………………</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240</w:t>
      </w:r>
    </w:p>
    <w:p w14:paraId="68EA6B89"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4.2.2 Exegesis: 1 Peter 2:13-17…………………………………………………</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251</w:t>
      </w:r>
    </w:p>
    <w:p w14:paraId="042C4E8D"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4.2.3 Summary and Submission Text Conclusions…………………………………</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258</w:t>
      </w:r>
    </w:p>
    <w:p w14:paraId="32CE1A4A" w14:textId="77777777" w:rsidR="005E23AC" w:rsidRPr="000D5CB8" w:rsidRDefault="005E23AC" w:rsidP="000D5CB8">
      <w:pPr>
        <w:rPr>
          <w:rFonts w:asciiTheme="majorHAnsi" w:eastAsia="Times New Roman" w:hAnsiTheme="majorHAnsi" w:cstheme="majorHAnsi"/>
        </w:rPr>
      </w:pPr>
    </w:p>
    <w:p w14:paraId="27D36306" w14:textId="77777777" w:rsidR="005E23AC" w:rsidRPr="000D5CB8" w:rsidRDefault="006A3099" w:rsidP="000D5CB8">
      <w:pPr>
        <w:rPr>
          <w:rFonts w:asciiTheme="majorHAnsi" w:eastAsia="Times New Roman" w:hAnsiTheme="majorHAnsi" w:cstheme="majorHAnsi"/>
          <w:b/>
        </w:rPr>
      </w:pPr>
      <w:r w:rsidRPr="000D5CB8">
        <w:rPr>
          <w:rFonts w:asciiTheme="majorHAnsi" w:eastAsia="Times New Roman" w:hAnsiTheme="majorHAnsi" w:cstheme="majorHAnsi"/>
          <w:b/>
        </w:rPr>
        <w:t xml:space="preserve">Chapter 5: Lamb and Beast: The Conflict Text (Revelation </w:t>
      </w:r>
      <w:proofErr w:type="gramStart"/>
      <w:r w:rsidRPr="000D5CB8">
        <w:rPr>
          <w:rFonts w:asciiTheme="majorHAnsi" w:eastAsia="Times New Roman" w:hAnsiTheme="majorHAnsi" w:cstheme="majorHAnsi"/>
          <w:b/>
        </w:rPr>
        <w:t>13)…</w:t>
      </w:r>
      <w:proofErr w:type="gramEnd"/>
      <w:r w:rsidRPr="000D5CB8">
        <w:rPr>
          <w:rFonts w:asciiTheme="majorHAnsi" w:eastAsia="Times New Roman" w:hAnsiTheme="majorHAnsi" w:cstheme="majorHAnsi"/>
          <w:b/>
        </w:rPr>
        <w:t>…………………</w:t>
      </w:r>
      <w:proofErr w:type="gramStart"/>
      <w:r w:rsidRPr="000D5CB8">
        <w:rPr>
          <w:rFonts w:asciiTheme="majorHAnsi" w:eastAsia="Times New Roman" w:hAnsiTheme="majorHAnsi" w:cstheme="majorHAnsi"/>
          <w:b/>
        </w:rPr>
        <w:t>…..</w:t>
      </w:r>
      <w:proofErr w:type="gramEnd"/>
      <w:r w:rsidRPr="000D5CB8">
        <w:rPr>
          <w:rFonts w:asciiTheme="majorHAnsi" w:eastAsia="Times New Roman" w:hAnsiTheme="majorHAnsi" w:cstheme="majorHAnsi"/>
          <w:b/>
        </w:rPr>
        <w:t>…263</w:t>
      </w:r>
    </w:p>
    <w:p w14:paraId="738AA45C"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5.1 Background, Audience, and Occasion of Revelation…………………………………...….264</w:t>
      </w:r>
    </w:p>
    <w:p w14:paraId="28D04CB1"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5.1.1 Revelation Overview and Deuteronomy 32 Worldview………………………….264</w:t>
      </w:r>
    </w:p>
    <w:p w14:paraId="5A1AF219"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5.1.2 Exegesis: Revelation 13………………………………………………………......276</w:t>
      </w:r>
    </w:p>
    <w:p w14:paraId="56C69414"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5.1.3 Summary and Conclusions……………………………………………………</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307</w:t>
      </w:r>
    </w:p>
    <w:p w14:paraId="1B2BABCB" w14:textId="77777777" w:rsidR="005E23AC" w:rsidRPr="000D5CB8" w:rsidRDefault="005E23AC" w:rsidP="000D5CB8">
      <w:pPr>
        <w:rPr>
          <w:rFonts w:asciiTheme="majorHAnsi" w:eastAsia="Times New Roman" w:hAnsiTheme="majorHAnsi" w:cstheme="majorHAnsi"/>
        </w:rPr>
      </w:pPr>
    </w:p>
    <w:p w14:paraId="756A4D21" w14:textId="77777777" w:rsidR="005E23AC" w:rsidRPr="000D5CB8" w:rsidRDefault="006A3099" w:rsidP="000D5CB8">
      <w:pPr>
        <w:rPr>
          <w:rFonts w:asciiTheme="majorHAnsi" w:eastAsia="Times New Roman" w:hAnsiTheme="majorHAnsi" w:cstheme="majorHAnsi"/>
          <w:b/>
        </w:rPr>
      </w:pPr>
      <w:r w:rsidRPr="000D5CB8">
        <w:rPr>
          <w:rFonts w:asciiTheme="majorHAnsi" w:eastAsia="Times New Roman" w:hAnsiTheme="majorHAnsi" w:cstheme="majorHAnsi"/>
          <w:b/>
        </w:rPr>
        <w:t>Chapter 6: Conclusion……………………………………………………………………</w:t>
      </w:r>
      <w:proofErr w:type="gramStart"/>
      <w:r w:rsidRPr="000D5CB8">
        <w:rPr>
          <w:rFonts w:asciiTheme="majorHAnsi" w:eastAsia="Times New Roman" w:hAnsiTheme="majorHAnsi" w:cstheme="majorHAnsi"/>
          <w:b/>
        </w:rPr>
        <w:t>…..</w:t>
      </w:r>
      <w:proofErr w:type="gramEnd"/>
      <w:r w:rsidRPr="000D5CB8">
        <w:rPr>
          <w:rFonts w:asciiTheme="majorHAnsi" w:eastAsia="Times New Roman" w:hAnsiTheme="majorHAnsi" w:cstheme="majorHAnsi"/>
          <w:b/>
        </w:rPr>
        <w:t>309</w:t>
      </w:r>
    </w:p>
    <w:p w14:paraId="0A1DE8A6"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6.1 Dissertation Overview………………………………………………………………</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….309</w:t>
      </w:r>
    </w:p>
    <w:p w14:paraId="3872CCF2"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6.2 Implications of Findings…………………………………………………………………....311</w:t>
      </w:r>
    </w:p>
    <w:p w14:paraId="272D32F0"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6.3 Applications of Findings……………………………………………………………</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325</w:t>
      </w:r>
    </w:p>
    <w:p w14:paraId="0C07DE8F"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6.4 Further Study…………………………………………………………………………....….326</w:t>
      </w:r>
    </w:p>
    <w:p w14:paraId="24F1BE5C" w14:textId="77777777" w:rsidR="005E23AC" w:rsidRPr="000D5CB8" w:rsidRDefault="005E23AC" w:rsidP="000D5CB8">
      <w:pPr>
        <w:rPr>
          <w:rFonts w:asciiTheme="majorHAnsi" w:hAnsiTheme="majorHAnsi" w:cstheme="majorHAnsi"/>
          <w:b/>
        </w:rPr>
      </w:pPr>
    </w:p>
    <w:p w14:paraId="6920A1EA"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b/>
        </w:rPr>
        <w:t>Bibliography</w:t>
      </w:r>
      <w:r w:rsidRPr="000D5CB8">
        <w:rPr>
          <w:rFonts w:asciiTheme="majorHAnsi" w:eastAsia="Times New Roman" w:hAnsiTheme="majorHAnsi" w:cstheme="majorHAnsi"/>
        </w:rPr>
        <w:t>…………………………………………………………………….………….….327</w:t>
      </w:r>
    </w:p>
    <w:p w14:paraId="23F08DB0" w14:textId="77777777" w:rsidR="005E23AC" w:rsidRPr="000D5CB8" w:rsidRDefault="005E23AC" w:rsidP="000D5CB8">
      <w:pPr>
        <w:rPr>
          <w:rFonts w:asciiTheme="majorHAnsi" w:eastAsia="Times New Roman" w:hAnsiTheme="majorHAnsi" w:cstheme="majorHAnsi"/>
          <w:b/>
        </w:rPr>
      </w:pPr>
    </w:p>
    <w:p w14:paraId="5E786031" w14:textId="77777777" w:rsidR="005E23AC" w:rsidRPr="000D5CB8" w:rsidRDefault="005E23AC" w:rsidP="000D5CB8">
      <w:pPr>
        <w:rPr>
          <w:rFonts w:asciiTheme="majorHAnsi" w:eastAsia="Times New Roman" w:hAnsiTheme="majorHAnsi" w:cstheme="majorHAnsi"/>
          <w:b/>
        </w:rPr>
      </w:pPr>
    </w:p>
    <w:p w14:paraId="4B0F2E0A" w14:textId="77777777" w:rsidR="005E23AC" w:rsidRPr="000D5CB8" w:rsidRDefault="005E23AC" w:rsidP="000D5CB8">
      <w:pPr>
        <w:rPr>
          <w:rFonts w:asciiTheme="majorHAnsi" w:eastAsia="Times New Roman" w:hAnsiTheme="majorHAnsi" w:cstheme="majorHAnsi"/>
          <w:b/>
        </w:rPr>
      </w:pPr>
    </w:p>
    <w:p w14:paraId="2066013D" w14:textId="77777777" w:rsidR="005E23AC" w:rsidRPr="000D5CB8" w:rsidRDefault="005E23AC" w:rsidP="000D5CB8">
      <w:pPr>
        <w:rPr>
          <w:rFonts w:asciiTheme="majorHAnsi" w:eastAsia="Times New Roman" w:hAnsiTheme="majorHAnsi" w:cstheme="majorHAnsi"/>
          <w:b/>
        </w:rPr>
      </w:pPr>
    </w:p>
    <w:p w14:paraId="044A3F34" w14:textId="77777777" w:rsidR="005E23AC" w:rsidRPr="000D5CB8" w:rsidRDefault="005E23AC" w:rsidP="000D5CB8">
      <w:pPr>
        <w:rPr>
          <w:rFonts w:asciiTheme="majorHAnsi" w:eastAsia="Times New Roman" w:hAnsiTheme="majorHAnsi" w:cstheme="majorHAnsi"/>
          <w:b/>
        </w:rPr>
      </w:pPr>
    </w:p>
    <w:p w14:paraId="2F6770A7" w14:textId="77777777" w:rsidR="005E23AC" w:rsidRPr="000D5CB8" w:rsidRDefault="005E23AC" w:rsidP="000D5CB8">
      <w:pPr>
        <w:rPr>
          <w:rFonts w:asciiTheme="majorHAnsi" w:eastAsia="Times New Roman" w:hAnsiTheme="majorHAnsi" w:cstheme="majorHAnsi"/>
          <w:b/>
        </w:rPr>
      </w:pPr>
    </w:p>
    <w:p w14:paraId="2E598A70" w14:textId="77777777" w:rsidR="005E23AC" w:rsidRPr="000D5CB8" w:rsidRDefault="005E23AC" w:rsidP="000D5CB8">
      <w:pPr>
        <w:rPr>
          <w:rFonts w:asciiTheme="majorHAnsi" w:eastAsia="Times New Roman" w:hAnsiTheme="majorHAnsi" w:cstheme="majorHAnsi"/>
          <w:b/>
        </w:rPr>
      </w:pPr>
    </w:p>
    <w:p w14:paraId="3C20C760" w14:textId="77777777" w:rsidR="005E23AC" w:rsidRPr="000D5CB8" w:rsidRDefault="005E23AC" w:rsidP="000D5CB8">
      <w:pPr>
        <w:rPr>
          <w:rFonts w:asciiTheme="majorHAnsi" w:eastAsia="Times New Roman" w:hAnsiTheme="majorHAnsi" w:cstheme="majorHAnsi"/>
          <w:b/>
        </w:rPr>
      </w:pPr>
    </w:p>
    <w:p w14:paraId="508D7BCD" w14:textId="77777777" w:rsidR="005E23AC" w:rsidRPr="000D5CB8" w:rsidRDefault="005E23AC" w:rsidP="000D5CB8">
      <w:pPr>
        <w:rPr>
          <w:rFonts w:asciiTheme="majorHAnsi" w:eastAsia="Times New Roman" w:hAnsiTheme="majorHAnsi" w:cstheme="majorHAnsi"/>
          <w:b/>
        </w:rPr>
      </w:pPr>
    </w:p>
    <w:p w14:paraId="5ED33DB7" w14:textId="77777777" w:rsidR="005E23AC" w:rsidRPr="000D5CB8" w:rsidRDefault="005E23AC" w:rsidP="000D5CB8">
      <w:pPr>
        <w:rPr>
          <w:rFonts w:asciiTheme="majorHAnsi" w:eastAsia="Times New Roman" w:hAnsiTheme="majorHAnsi" w:cstheme="majorHAnsi"/>
          <w:b/>
        </w:rPr>
      </w:pPr>
    </w:p>
    <w:p w14:paraId="68F371F1" w14:textId="77777777" w:rsidR="005E23AC" w:rsidRPr="000D5CB8" w:rsidRDefault="005E23AC" w:rsidP="000D5CB8">
      <w:pPr>
        <w:rPr>
          <w:rFonts w:asciiTheme="majorHAnsi" w:eastAsia="Times New Roman" w:hAnsiTheme="majorHAnsi" w:cstheme="majorHAnsi"/>
          <w:b/>
        </w:rPr>
      </w:pPr>
    </w:p>
    <w:p w14:paraId="5E6709EF" w14:textId="77777777" w:rsidR="005E23AC" w:rsidRPr="000D5CB8" w:rsidRDefault="005E23AC" w:rsidP="000D5CB8">
      <w:pPr>
        <w:rPr>
          <w:rFonts w:asciiTheme="majorHAnsi" w:eastAsia="Times New Roman" w:hAnsiTheme="majorHAnsi" w:cstheme="majorHAnsi"/>
          <w:b/>
        </w:rPr>
      </w:pPr>
    </w:p>
    <w:p w14:paraId="31F4F86E" w14:textId="77777777" w:rsidR="005E23AC" w:rsidRPr="000D5CB8" w:rsidRDefault="005E23AC" w:rsidP="000D5CB8">
      <w:pPr>
        <w:rPr>
          <w:rFonts w:asciiTheme="majorHAnsi" w:eastAsia="Times New Roman" w:hAnsiTheme="majorHAnsi" w:cstheme="majorHAnsi"/>
          <w:b/>
        </w:rPr>
      </w:pPr>
    </w:p>
    <w:p w14:paraId="1DEB6F4D" w14:textId="77777777" w:rsidR="005E23AC" w:rsidRPr="000D5CB8" w:rsidRDefault="005E23AC" w:rsidP="000D5CB8">
      <w:pPr>
        <w:rPr>
          <w:rFonts w:asciiTheme="majorHAnsi" w:eastAsia="Times New Roman" w:hAnsiTheme="majorHAnsi" w:cstheme="majorHAnsi"/>
          <w:b/>
        </w:rPr>
      </w:pPr>
    </w:p>
    <w:p w14:paraId="6C19A08E" w14:textId="77777777" w:rsidR="005E23AC" w:rsidRPr="000D5CB8" w:rsidRDefault="005E23AC" w:rsidP="000D5CB8">
      <w:pPr>
        <w:rPr>
          <w:rFonts w:asciiTheme="majorHAnsi" w:eastAsia="Times New Roman" w:hAnsiTheme="majorHAnsi" w:cstheme="majorHAnsi"/>
          <w:b/>
        </w:rPr>
      </w:pPr>
    </w:p>
    <w:p w14:paraId="2E3161A5" w14:textId="77777777" w:rsidR="005E23AC" w:rsidRPr="000D5CB8" w:rsidRDefault="005E23AC" w:rsidP="000D5CB8">
      <w:pPr>
        <w:rPr>
          <w:rFonts w:asciiTheme="majorHAnsi" w:eastAsia="Times New Roman" w:hAnsiTheme="majorHAnsi" w:cstheme="majorHAnsi"/>
          <w:b/>
        </w:rPr>
      </w:pPr>
    </w:p>
    <w:p w14:paraId="377BCCBC" w14:textId="77777777" w:rsidR="005E23AC" w:rsidRPr="000D5CB8" w:rsidRDefault="005E23AC" w:rsidP="000D5CB8">
      <w:pPr>
        <w:rPr>
          <w:rFonts w:asciiTheme="majorHAnsi" w:eastAsia="Times New Roman" w:hAnsiTheme="majorHAnsi" w:cstheme="majorHAnsi"/>
          <w:b/>
        </w:rPr>
      </w:pPr>
    </w:p>
    <w:p w14:paraId="236A2150" w14:textId="77777777" w:rsidR="005E23AC" w:rsidRPr="000D5CB8" w:rsidRDefault="005E23AC" w:rsidP="000D5CB8">
      <w:pPr>
        <w:rPr>
          <w:rFonts w:asciiTheme="majorHAnsi" w:eastAsia="Times New Roman" w:hAnsiTheme="majorHAnsi" w:cstheme="majorHAnsi"/>
          <w:b/>
        </w:rPr>
      </w:pPr>
    </w:p>
    <w:p w14:paraId="398CCBCF" w14:textId="77777777" w:rsidR="005E23AC" w:rsidRPr="000D5CB8" w:rsidRDefault="005E23AC" w:rsidP="000D5CB8">
      <w:pPr>
        <w:jc w:val="center"/>
        <w:rPr>
          <w:rFonts w:asciiTheme="majorHAnsi" w:eastAsia="Times New Roman" w:hAnsiTheme="majorHAnsi" w:cstheme="majorHAnsi"/>
          <w:b/>
        </w:rPr>
      </w:pPr>
    </w:p>
    <w:p w14:paraId="6973A48E" w14:textId="77777777" w:rsidR="005E23AC" w:rsidRPr="000D5CB8" w:rsidRDefault="005E23AC" w:rsidP="000D5CB8">
      <w:pPr>
        <w:jc w:val="center"/>
        <w:rPr>
          <w:rFonts w:asciiTheme="majorHAnsi" w:eastAsia="Times New Roman" w:hAnsiTheme="majorHAnsi" w:cstheme="majorHAnsi"/>
          <w:b/>
        </w:rPr>
      </w:pPr>
    </w:p>
    <w:p w14:paraId="2A77CCCB" w14:textId="77777777" w:rsidR="00CD20AD" w:rsidRDefault="00CD20AD" w:rsidP="000D5CB8">
      <w:pPr>
        <w:jc w:val="center"/>
        <w:rPr>
          <w:rFonts w:asciiTheme="majorHAnsi" w:eastAsia="Times New Roman" w:hAnsiTheme="majorHAnsi" w:cstheme="majorHAnsi"/>
          <w:b/>
        </w:rPr>
      </w:pPr>
    </w:p>
    <w:p w14:paraId="61632494" w14:textId="77777777" w:rsidR="00CD20AD" w:rsidRDefault="00CD20AD" w:rsidP="000D5CB8">
      <w:pPr>
        <w:jc w:val="center"/>
        <w:rPr>
          <w:rFonts w:asciiTheme="majorHAnsi" w:eastAsia="Times New Roman" w:hAnsiTheme="majorHAnsi" w:cstheme="majorHAnsi"/>
          <w:b/>
        </w:rPr>
      </w:pPr>
    </w:p>
    <w:p w14:paraId="147CCC0E" w14:textId="50F851B3" w:rsidR="005E23AC" w:rsidRPr="000D5CB8" w:rsidRDefault="006A3099" w:rsidP="000D5CB8">
      <w:pPr>
        <w:jc w:val="center"/>
        <w:rPr>
          <w:rFonts w:asciiTheme="majorHAnsi" w:eastAsia="Times New Roman" w:hAnsiTheme="majorHAnsi" w:cstheme="majorHAnsi"/>
          <w:b/>
        </w:rPr>
      </w:pPr>
      <w:r w:rsidRPr="000D5CB8">
        <w:rPr>
          <w:rFonts w:asciiTheme="majorHAnsi" w:eastAsia="Times New Roman" w:hAnsiTheme="majorHAnsi" w:cstheme="majorHAnsi"/>
          <w:b/>
        </w:rPr>
        <w:lastRenderedPageBreak/>
        <w:t xml:space="preserve">CHAPTER 1: </w:t>
      </w:r>
    </w:p>
    <w:p w14:paraId="12AD0137" w14:textId="77777777" w:rsidR="005E23AC" w:rsidRPr="000D5CB8" w:rsidRDefault="006A3099" w:rsidP="000D5CB8">
      <w:pPr>
        <w:jc w:val="center"/>
        <w:rPr>
          <w:rFonts w:asciiTheme="majorHAnsi" w:eastAsia="Times New Roman" w:hAnsiTheme="majorHAnsi" w:cstheme="majorHAnsi"/>
        </w:rPr>
      </w:pPr>
      <w:r w:rsidRPr="000D5CB8">
        <w:rPr>
          <w:rFonts w:asciiTheme="majorHAnsi" w:eastAsia="Times New Roman" w:hAnsiTheme="majorHAnsi" w:cstheme="majorHAnsi"/>
        </w:rPr>
        <w:t>INTRODUCTION, RESEARCH QUESTIONS, AND METHODOLOGY</w:t>
      </w:r>
    </w:p>
    <w:p w14:paraId="12146370" w14:textId="77777777" w:rsidR="005E23AC" w:rsidRPr="000D5CB8" w:rsidRDefault="005E23AC" w:rsidP="000D5CB8">
      <w:pPr>
        <w:rPr>
          <w:rFonts w:asciiTheme="majorHAnsi" w:eastAsia="Times New Roman" w:hAnsiTheme="majorHAnsi" w:cstheme="majorHAnsi"/>
        </w:rPr>
      </w:pPr>
    </w:p>
    <w:p w14:paraId="33378BF7" w14:textId="77777777" w:rsidR="005E23AC" w:rsidRPr="000D5CB8" w:rsidRDefault="005E23AC" w:rsidP="000D5CB8">
      <w:pPr>
        <w:rPr>
          <w:rFonts w:asciiTheme="majorHAnsi" w:eastAsia="Times New Roman" w:hAnsiTheme="majorHAnsi" w:cstheme="majorHAnsi"/>
        </w:rPr>
      </w:pPr>
    </w:p>
    <w:p w14:paraId="7501591F"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The purpose of this study is to examine the Biblical view of the relationship between the Church and the state and the Church’s response to the Principalities and Powers. The question of the Church’s relationship and response to the state has been an ongoing one since the church was formed. There </w:t>
      </w:r>
      <w:proofErr w:type="gramStart"/>
      <w:r w:rsidRPr="000D5CB8">
        <w:rPr>
          <w:rFonts w:asciiTheme="majorHAnsi" w:eastAsia="Times New Roman" w:hAnsiTheme="majorHAnsi" w:cstheme="majorHAnsi"/>
        </w:rPr>
        <w:t>are</w:t>
      </w:r>
      <w:proofErr w:type="gramEnd"/>
      <w:r w:rsidRPr="000D5CB8">
        <w:rPr>
          <w:rFonts w:asciiTheme="majorHAnsi" w:eastAsia="Times New Roman" w:hAnsiTheme="majorHAnsi" w:cstheme="majorHAnsi"/>
        </w:rPr>
        <w:t xml:space="preserve"> a multiplicity of views on how God’s people might live </w:t>
      </w:r>
      <w:proofErr w:type="gramStart"/>
      <w:r w:rsidRPr="000D5CB8">
        <w:rPr>
          <w:rFonts w:asciiTheme="majorHAnsi" w:eastAsia="Times New Roman" w:hAnsiTheme="majorHAnsi" w:cstheme="majorHAnsi"/>
        </w:rPr>
        <w:t>in the midst of</w:t>
      </w:r>
      <w:proofErr w:type="gramEnd"/>
      <w:r w:rsidRPr="000D5CB8">
        <w:rPr>
          <w:rFonts w:asciiTheme="majorHAnsi" w:eastAsia="Times New Roman" w:hAnsiTheme="majorHAnsi" w:cstheme="majorHAnsi"/>
        </w:rPr>
        <w:t xml:space="preserve"> empire. We see verses like those in Romans 13:1 (NASB): </w:t>
      </w:r>
      <w:r w:rsidRPr="000D5CB8">
        <w:rPr>
          <w:rFonts w:asciiTheme="majorHAnsi" w:eastAsia="Times New Roman" w:hAnsiTheme="majorHAnsi" w:cstheme="majorHAnsi"/>
          <w:i/>
        </w:rPr>
        <w:t xml:space="preserve">“Every person is to be in subjection to the governing authorities. For there is no authority except from God, and those which exist are established by God” </w:t>
      </w:r>
      <w:r w:rsidRPr="000D5CB8">
        <w:rPr>
          <w:rFonts w:asciiTheme="majorHAnsi" w:eastAsia="Times New Roman" w:hAnsiTheme="majorHAnsi" w:cstheme="majorHAnsi"/>
        </w:rPr>
        <w:t xml:space="preserve">and 1 Peter 2:13: </w:t>
      </w:r>
      <w:r w:rsidRPr="000D5CB8">
        <w:rPr>
          <w:rFonts w:asciiTheme="majorHAnsi" w:eastAsia="Times New Roman" w:hAnsiTheme="majorHAnsi" w:cstheme="majorHAnsi"/>
          <w:i/>
        </w:rPr>
        <w:t>“Submit yourselves for the Lord’s sake to every human institution, whether to a king as the one in authority”</w:t>
      </w:r>
      <w:r w:rsidRPr="000D5CB8">
        <w:rPr>
          <w:rFonts w:asciiTheme="majorHAnsi" w:eastAsia="Times New Roman" w:hAnsiTheme="majorHAnsi" w:cstheme="majorHAnsi"/>
        </w:rPr>
        <w:t xml:space="preserve"> interpreted at times as a call for Christians to obedience and allegiance to human governments because God has placed them in authority. And some see Christian participation in these systems as necessary and good. Yet, there are verses that say </w:t>
      </w:r>
      <w:r w:rsidRPr="000D5CB8">
        <w:rPr>
          <w:rFonts w:asciiTheme="majorHAnsi" w:eastAsia="Times New Roman" w:hAnsiTheme="majorHAnsi" w:cstheme="majorHAnsi"/>
          <w:i/>
        </w:rPr>
        <w:t>“My kingdom is not of this world. If My kingdom were of this world, then My servants would be fighting so that I would not be handed over to the Jews; but as it is, my kingdom is not from here.”</w:t>
      </w:r>
      <w:r w:rsidRPr="000D5CB8">
        <w:rPr>
          <w:rFonts w:asciiTheme="majorHAnsi" w:eastAsia="Times New Roman" w:hAnsiTheme="majorHAnsi" w:cstheme="majorHAnsi"/>
          <w:i/>
          <w:vertAlign w:val="superscript"/>
        </w:rPr>
        <w:t xml:space="preserve"> </w:t>
      </w:r>
      <w:r w:rsidRPr="000D5CB8">
        <w:rPr>
          <w:rFonts w:asciiTheme="majorHAnsi" w:eastAsia="Times New Roman" w:hAnsiTheme="majorHAnsi" w:cstheme="majorHAnsi"/>
        </w:rPr>
        <w:t xml:space="preserve">(John 18:36), </w:t>
      </w:r>
      <w:r w:rsidRPr="000D5CB8">
        <w:rPr>
          <w:rFonts w:asciiTheme="majorHAnsi" w:eastAsia="Times New Roman" w:hAnsiTheme="majorHAnsi" w:cstheme="majorHAnsi"/>
          <w:i/>
        </w:rPr>
        <w:t>“For our citizenship is in heaven, from which also we eagerly wait for a Savior, the Lord Jesus Christ”</w:t>
      </w:r>
      <w:r w:rsidRPr="000D5CB8">
        <w:rPr>
          <w:rFonts w:asciiTheme="majorHAnsi" w:eastAsia="Times New Roman" w:hAnsiTheme="majorHAnsi" w:cstheme="majorHAnsi"/>
        </w:rPr>
        <w:t xml:space="preserve"> (Phil. 3:20), </w:t>
      </w:r>
      <w:r w:rsidRPr="000D5CB8">
        <w:rPr>
          <w:rFonts w:asciiTheme="majorHAnsi" w:eastAsia="Times New Roman" w:hAnsiTheme="majorHAnsi" w:cstheme="majorHAnsi"/>
          <w:i/>
        </w:rPr>
        <w:t>“No soldier in active service entangles himself in the affairs of everyday life, so that he may please the one who enlisted him as a soldier.”</w:t>
      </w:r>
      <w:r w:rsidRPr="000D5CB8">
        <w:rPr>
          <w:rFonts w:asciiTheme="majorHAnsi" w:eastAsia="Times New Roman" w:hAnsiTheme="majorHAnsi" w:cstheme="majorHAnsi"/>
        </w:rPr>
        <w:t xml:space="preserve"> (2 Timothy 2:4), </w:t>
      </w:r>
      <w:r w:rsidRPr="000D5CB8">
        <w:rPr>
          <w:rFonts w:asciiTheme="majorHAnsi" w:eastAsia="Times New Roman" w:hAnsiTheme="majorHAnsi" w:cstheme="majorHAnsi"/>
          <w:i/>
        </w:rPr>
        <w:t>“You adulteresses, do you not know that friendship with the world is hostility toward God? Therefore, whoever wishes to be a friend of the world makes himself an enemy of God.”</w:t>
      </w:r>
      <w:r w:rsidRPr="000D5CB8">
        <w:rPr>
          <w:rFonts w:asciiTheme="majorHAnsi" w:eastAsia="Times New Roman" w:hAnsiTheme="majorHAnsi" w:cstheme="majorHAnsi"/>
        </w:rPr>
        <w:t xml:space="preserve"> (James 4:4), and in Revelation 13 where we have a beast representing a kingdom/king with authority from the Dragon and the second beast pointing the world to worship the first Beast and the Dragon. </w:t>
      </w:r>
    </w:p>
    <w:p w14:paraId="4FC4E4A9" w14:textId="77777777" w:rsidR="005E23AC" w:rsidRPr="000D5CB8" w:rsidRDefault="006A3099" w:rsidP="000D5CB8">
      <w:pPr>
        <w:ind w:firstLine="360"/>
        <w:rPr>
          <w:rFonts w:asciiTheme="majorHAnsi" w:eastAsia="Times New Roman" w:hAnsiTheme="majorHAnsi" w:cstheme="majorHAnsi"/>
        </w:rPr>
      </w:pPr>
      <w:r w:rsidRPr="000D5CB8">
        <w:rPr>
          <w:rFonts w:asciiTheme="majorHAnsi" w:eastAsia="Times New Roman" w:hAnsiTheme="majorHAnsi" w:cstheme="majorHAnsi"/>
        </w:rPr>
        <w:t xml:space="preserve">There are </w:t>
      </w:r>
      <w:r w:rsidRPr="000D5CB8">
        <w:rPr>
          <w:rFonts w:asciiTheme="majorHAnsi" w:eastAsia="Times New Roman" w:hAnsiTheme="majorHAnsi" w:cstheme="majorHAnsi"/>
          <w:i/>
        </w:rPr>
        <w:t>submission</w:t>
      </w:r>
      <w:r w:rsidRPr="000D5CB8">
        <w:rPr>
          <w:rFonts w:asciiTheme="majorHAnsi" w:eastAsia="Times New Roman" w:hAnsiTheme="majorHAnsi" w:cstheme="majorHAnsi"/>
        </w:rPr>
        <w:t xml:space="preserve"> texts that can be used to point to governments as set up by God and that they are His ordained agents, while others are </w:t>
      </w:r>
      <w:r w:rsidRPr="000D5CB8">
        <w:rPr>
          <w:rFonts w:asciiTheme="majorHAnsi" w:eastAsia="Times New Roman" w:hAnsiTheme="majorHAnsi" w:cstheme="majorHAnsi"/>
          <w:i/>
        </w:rPr>
        <w:t>conflict</w:t>
      </w:r>
      <w:r w:rsidRPr="000D5CB8">
        <w:rPr>
          <w:rFonts w:asciiTheme="majorHAnsi" w:eastAsia="Times New Roman" w:hAnsiTheme="majorHAnsi" w:cstheme="majorHAnsi"/>
        </w:rPr>
        <w:t xml:space="preserve"> texts that have been interpreted as empires, kingdoms, and governments that are the system of Satan opposed to the Kingdom of God. </w:t>
      </w:r>
    </w:p>
    <w:p w14:paraId="4F84FE89" w14:textId="77777777" w:rsidR="005E23AC" w:rsidRPr="000D5CB8" w:rsidRDefault="006A3099" w:rsidP="000D5CB8">
      <w:pPr>
        <w:ind w:firstLine="360"/>
        <w:rPr>
          <w:rFonts w:asciiTheme="majorHAnsi" w:eastAsia="Times New Roman" w:hAnsiTheme="majorHAnsi" w:cstheme="majorHAnsi"/>
        </w:rPr>
      </w:pPr>
      <w:r w:rsidRPr="000D5CB8">
        <w:rPr>
          <w:rFonts w:asciiTheme="majorHAnsi" w:eastAsia="Times New Roman" w:hAnsiTheme="majorHAnsi" w:cstheme="majorHAnsi"/>
        </w:rPr>
        <w:t>In this study we will be focusing on a Biblical studies methodology and a socio-rhetorical interpretive approach to this topic rather than that of a systematic one. Beale explains this approach:</w:t>
      </w:r>
    </w:p>
    <w:p w14:paraId="3C25B120" w14:textId="77777777" w:rsidR="005E23AC" w:rsidRPr="000D5CB8" w:rsidRDefault="006A3099" w:rsidP="000D5CB8">
      <w:pPr>
        <w:ind w:left="720" w:right="720"/>
        <w:jc w:val="both"/>
        <w:rPr>
          <w:rFonts w:asciiTheme="majorHAnsi" w:eastAsia="Times New Roman" w:hAnsiTheme="majorHAnsi" w:cstheme="majorHAnsi"/>
        </w:rPr>
      </w:pPr>
      <w:r w:rsidRPr="000D5CB8">
        <w:rPr>
          <w:rFonts w:asciiTheme="majorHAnsi" w:eastAsia="Times New Roman" w:hAnsiTheme="majorHAnsi" w:cstheme="majorHAnsi"/>
          <w:highlight w:val="white"/>
        </w:rPr>
        <w:t>“A biblical-theological approach attempts to interpret texts in light of their broader literary context, their broader redemptive-historical epoch of which they are a part, and to interpret earlier texts from earlier epochs, attempting to explain them in the light of progressive revelation to which earlier scriptural authors would not have had access.”</w:t>
      </w:r>
      <w:r w:rsidRPr="000D5CB8">
        <w:rPr>
          <w:rFonts w:asciiTheme="majorHAnsi" w:eastAsia="Times New Roman" w:hAnsiTheme="majorHAnsi" w:cstheme="majorHAnsi"/>
          <w:highlight w:val="white"/>
          <w:vertAlign w:val="superscript"/>
        </w:rPr>
        <w:footnoteReference w:id="1"/>
      </w:r>
    </w:p>
    <w:p w14:paraId="0D08ECEC" w14:textId="77777777" w:rsidR="005E23AC" w:rsidRPr="000D5CB8" w:rsidRDefault="005E23AC" w:rsidP="000D5CB8">
      <w:pPr>
        <w:ind w:firstLine="360"/>
        <w:rPr>
          <w:rFonts w:asciiTheme="majorHAnsi" w:eastAsia="Times New Roman" w:hAnsiTheme="majorHAnsi" w:cstheme="majorHAnsi"/>
        </w:rPr>
      </w:pPr>
    </w:p>
    <w:p w14:paraId="2A75DA79" w14:textId="77777777" w:rsidR="005E23AC" w:rsidRPr="000D5CB8" w:rsidRDefault="006A3099" w:rsidP="000D5CB8">
      <w:pPr>
        <w:ind w:firstLine="360"/>
        <w:rPr>
          <w:rFonts w:asciiTheme="majorHAnsi" w:eastAsia="Times New Roman" w:hAnsiTheme="majorHAnsi" w:cstheme="majorHAnsi"/>
        </w:rPr>
      </w:pPr>
      <w:r w:rsidRPr="000D5CB8">
        <w:rPr>
          <w:rFonts w:asciiTheme="majorHAnsi" w:eastAsia="Times New Roman" w:hAnsiTheme="majorHAnsi" w:cstheme="majorHAnsi"/>
        </w:rPr>
        <w:t xml:space="preserve"> Thus, we will use a study of the Bible based on history, the history of revelation, and the history of our redemption, instead of theology that is organized topically which potentially lacks a view of God’s work throughout time. </w:t>
      </w:r>
    </w:p>
    <w:p w14:paraId="064B2B67" w14:textId="77777777" w:rsidR="005E23AC" w:rsidRPr="000D5CB8" w:rsidRDefault="005E23AC" w:rsidP="000D5CB8">
      <w:pPr>
        <w:ind w:firstLine="360"/>
        <w:rPr>
          <w:rFonts w:asciiTheme="majorHAnsi" w:eastAsia="Times New Roman" w:hAnsiTheme="majorHAnsi" w:cstheme="majorHAnsi"/>
        </w:rPr>
      </w:pPr>
    </w:p>
    <w:p w14:paraId="0CCCC0EC" w14:textId="77777777" w:rsidR="005E23AC" w:rsidRPr="000D5CB8" w:rsidRDefault="006A3099" w:rsidP="000D5CB8">
      <w:pPr>
        <w:numPr>
          <w:ilvl w:val="1"/>
          <w:numId w:val="1"/>
        </w:numPr>
        <w:pBdr>
          <w:top w:val="nil"/>
          <w:left w:val="nil"/>
          <w:bottom w:val="nil"/>
          <w:right w:val="nil"/>
          <w:between w:val="nil"/>
        </w:pBdr>
        <w:jc w:val="center"/>
        <w:rPr>
          <w:rFonts w:asciiTheme="majorHAnsi" w:eastAsia="Times New Roman" w:hAnsiTheme="majorHAnsi" w:cstheme="majorHAnsi"/>
          <w:b/>
          <w:color w:val="000000"/>
        </w:rPr>
      </w:pPr>
      <w:r w:rsidRPr="000D5CB8">
        <w:rPr>
          <w:rFonts w:asciiTheme="majorHAnsi" w:eastAsia="Times New Roman" w:hAnsiTheme="majorHAnsi" w:cstheme="majorHAnsi"/>
          <w:b/>
          <w:color w:val="000000"/>
        </w:rPr>
        <w:t>Setting Out the Task</w:t>
      </w:r>
    </w:p>
    <w:p w14:paraId="2611E18C" w14:textId="77777777" w:rsidR="005E23AC" w:rsidRPr="000D5CB8" w:rsidRDefault="005E23AC" w:rsidP="000D5CB8">
      <w:pPr>
        <w:pBdr>
          <w:top w:val="nil"/>
          <w:left w:val="nil"/>
          <w:bottom w:val="nil"/>
          <w:right w:val="nil"/>
          <w:between w:val="nil"/>
        </w:pBdr>
        <w:ind w:left="360"/>
        <w:rPr>
          <w:rFonts w:asciiTheme="majorHAnsi" w:eastAsia="Times New Roman" w:hAnsiTheme="majorHAnsi" w:cstheme="majorHAnsi"/>
          <w:b/>
          <w:color w:val="000000"/>
        </w:rPr>
      </w:pPr>
    </w:p>
    <w:p w14:paraId="17067A19" w14:textId="77777777" w:rsidR="005E23AC" w:rsidRPr="000D5CB8" w:rsidRDefault="005E23AC" w:rsidP="000D5CB8">
      <w:pPr>
        <w:rPr>
          <w:rFonts w:asciiTheme="majorHAnsi" w:eastAsia="Times New Roman" w:hAnsiTheme="majorHAnsi" w:cstheme="majorHAnsi"/>
        </w:rPr>
      </w:pPr>
    </w:p>
    <w:p w14:paraId="6E86DA6F" w14:textId="77777777" w:rsidR="005E23AC" w:rsidRPr="000D5CB8" w:rsidRDefault="006A3099" w:rsidP="000D5CB8">
      <w:pPr>
        <w:rPr>
          <w:rFonts w:asciiTheme="majorHAnsi" w:eastAsia="Times New Roman" w:hAnsiTheme="majorHAnsi" w:cstheme="majorHAnsi"/>
          <w:i/>
        </w:rPr>
      </w:pPr>
      <w:r w:rsidRPr="000D5CB8">
        <w:rPr>
          <w:rFonts w:asciiTheme="majorHAnsi" w:eastAsia="Times New Roman" w:hAnsiTheme="majorHAnsi" w:cstheme="majorHAnsi"/>
        </w:rPr>
        <w:t xml:space="preserve">1.1.1 </w:t>
      </w:r>
      <w:r w:rsidRPr="000D5CB8">
        <w:rPr>
          <w:rFonts w:asciiTheme="majorHAnsi" w:eastAsia="Times New Roman" w:hAnsiTheme="majorHAnsi" w:cstheme="majorHAnsi"/>
          <w:i/>
        </w:rPr>
        <w:t>Differing Approaches to Romans 13:1-7, 1 Peter 2:13-17, and Revelation 13 on the Christian Response to Empire</w:t>
      </w:r>
    </w:p>
    <w:p w14:paraId="4676CDDC" w14:textId="77777777" w:rsidR="005E23AC" w:rsidRPr="000D5CB8" w:rsidRDefault="006A3099" w:rsidP="000D5CB8">
      <w:pPr>
        <w:rPr>
          <w:rFonts w:asciiTheme="majorHAnsi" w:eastAsia="Times New Roman" w:hAnsiTheme="majorHAnsi" w:cstheme="majorHAnsi"/>
          <w:i/>
        </w:rPr>
      </w:pPr>
      <w:r w:rsidRPr="000D5CB8">
        <w:rPr>
          <w:rFonts w:asciiTheme="majorHAnsi" w:eastAsia="Times New Roman" w:hAnsiTheme="majorHAnsi" w:cstheme="majorHAnsi"/>
          <w:i/>
        </w:rPr>
        <w:tab/>
      </w:r>
    </w:p>
    <w:p w14:paraId="56C43C60" w14:textId="77777777" w:rsidR="005E23AC" w:rsidRPr="000D5CB8" w:rsidRDefault="006A3099" w:rsidP="000D5CB8">
      <w:pPr>
        <w:ind w:firstLine="720"/>
        <w:rPr>
          <w:rFonts w:asciiTheme="majorHAnsi" w:eastAsia="Times New Roman" w:hAnsiTheme="majorHAnsi" w:cstheme="majorHAnsi"/>
          <w:i/>
        </w:rPr>
      </w:pPr>
      <w:r w:rsidRPr="000D5CB8">
        <w:rPr>
          <w:rFonts w:asciiTheme="majorHAnsi" w:eastAsia="Times New Roman" w:hAnsiTheme="majorHAnsi" w:cstheme="majorHAnsi"/>
        </w:rPr>
        <w:t xml:space="preserve">As we approach these texts we will categorize them in two ways- </w:t>
      </w:r>
      <w:r w:rsidRPr="000D5CB8">
        <w:rPr>
          <w:rFonts w:asciiTheme="majorHAnsi" w:eastAsia="Times New Roman" w:hAnsiTheme="majorHAnsi" w:cstheme="majorHAnsi"/>
          <w:i/>
        </w:rPr>
        <w:t>submission</w:t>
      </w:r>
      <w:r w:rsidRPr="000D5CB8">
        <w:rPr>
          <w:rFonts w:asciiTheme="majorHAnsi" w:eastAsia="Times New Roman" w:hAnsiTheme="majorHAnsi" w:cstheme="majorHAnsi"/>
        </w:rPr>
        <w:t xml:space="preserve"> and </w:t>
      </w:r>
      <w:r w:rsidRPr="000D5CB8">
        <w:rPr>
          <w:rFonts w:asciiTheme="majorHAnsi" w:eastAsia="Times New Roman" w:hAnsiTheme="majorHAnsi" w:cstheme="majorHAnsi"/>
          <w:i/>
        </w:rPr>
        <w:t>conflict</w:t>
      </w:r>
      <w:r w:rsidRPr="000D5CB8">
        <w:rPr>
          <w:rFonts w:asciiTheme="majorHAnsi" w:eastAsia="Times New Roman" w:hAnsiTheme="majorHAnsi" w:cstheme="majorHAnsi"/>
        </w:rPr>
        <w:t xml:space="preserve">. The </w:t>
      </w:r>
      <w:r w:rsidRPr="000D5CB8">
        <w:rPr>
          <w:rFonts w:asciiTheme="majorHAnsi" w:eastAsia="Times New Roman" w:hAnsiTheme="majorHAnsi" w:cstheme="majorHAnsi"/>
          <w:i/>
        </w:rPr>
        <w:t>submission</w:t>
      </w:r>
      <w:r w:rsidRPr="000D5CB8">
        <w:rPr>
          <w:rFonts w:asciiTheme="majorHAnsi" w:eastAsia="Times New Roman" w:hAnsiTheme="majorHAnsi" w:cstheme="majorHAnsi"/>
        </w:rPr>
        <w:t xml:space="preserve"> texts of Romans 13:1-7 and 1 Peter 2:13-17 use the language of submission or subjection to </w:t>
      </w:r>
      <w:r w:rsidRPr="000D5CB8">
        <w:rPr>
          <w:rFonts w:asciiTheme="majorHAnsi" w:eastAsia="Times New Roman" w:hAnsiTheme="majorHAnsi" w:cstheme="majorHAnsi"/>
        </w:rPr>
        <w:lastRenderedPageBreak/>
        <w:t>authorities and have been used to frame a potentially positive view of the government and kingdom structures in the world. Though we will see that not all interpret these texts in that manner. Runge summarizes this submission approach to these texts saying,</w:t>
      </w:r>
    </w:p>
    <w:p w14:paraId="414D0558" w14:textId="77777777" w:rsidR="005E23AC" w:rsidRPr="000D5CB8" w:rsidRDefault="006A3099" w:rsidP="000D5CB8">
      <w:pPr>
        <w:ind w:left="720" w:right="720"/>
        <w:jc w:val="both"/>
        <w:rPr>
          <w:rFonts w:asciiTheme="majorHAnsi" w:eastAsia="Times New Roman" w:hAnsiTheme="majorHAnsi" w:cstheme="majorHAnsi"/>
        </w:rPr>
      </w:pPr>
      <w:r w:rsidRPr="000D5CB8">
        <w:rPr>
          <w:rFonts w:asciiTheme="majorHAnsi" w:eastAsia="Times New Roman" w:hAnsiTheme="majorHAnsi" w:cstheme="majorHAnsi"/>
        </w:rPr>
        <w:t xml:space="preserve">Paul’s rationale for obedience has nothing to do with the rulers’ godliness, competence, or any other qualification. Instead, his call for submission to their authority is grounded in </w:t>
      </w:r>
      <w:r w:rsidRPr="000D5CB8">
        <w:rPr>
          <w:rFonts w:asciiTheme="majorHAnsi" w:eastAsia="Times New Roman" w:hAnsiTheme="majorHAnsi" w:cstheme="majorHAnsi"/>
          <w:i/>
        </w:rPr>
        <w:t>God’s</w:t>
      </w:r>
      <w:r w:rsidRPr="000D5CB8">
        <w:rPr>
          <w:rFonts w:asciiTheme="majorHAnsi" w:eastAsia="Times New Roman" w:hAnsiTheme="majorHAnsi" w:cstheme="majorHAnsi"/>
        </w:rPr>
        <w:t xml:space="preserve"> authority. The only authorities that exist are the ones whom God has placed there, according to His sovereign plan… Although Paul is silent regarding unjust rulers, Peter is not. Peter describes an example of subjecting oneself to a master even if he is unjust (1 Pet 2:18–19). He takes the position that even in the face of unjust authority, it is still better to submit.</w:t>
      </w:r>
      <w:r w:rsidRPr="000D5CB8">
        <w:rPr>
          <w:rFonts w:asciiTheme="majorHAnsi" w:eastAsia="Times New Roman" w:hAnsiTheme="majorHAnsi" w:cstheme="majorHAnsi"/>
          <w:vertAlign w:val="superscript"/>
        </w:rPr>
        <w:footnoteReference w:id="2"/>
      </w:r>
    </w:p>
    <w:p w14:paraId="42D2CBF9" w14:textId="77777777" w:rsidR="005E23AC" w:rsidRPr="000D5CB8" w:rsidRDefault="005E23AC" w:rsidP="000D5CB8">
      <w:pPr>
        <w:ind w:left="720" w:right="630"/>
        <w:jc w:val="both"/>
        <w:rPr>
          <w:rFonts w:asciiTheme="majorHAnsi" w:eastAsia="Times New Roman" w:hAnsiTheme="majorHAnsi" w:cstheme="majorHAnsi"/>
        </w:rPr>
      </w:pPr>
    </w:p>
    <w:p w14:paraId="2BE7E27B"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The </w:t>
      </w:r>
      <w:r w:rsidRPr="000D5CB8">
        <w:rPr>
          <w:rFonts w:asciiTheme="majorHAnsi" w:eastAsia="Times New Roman" w:hAnsiTheme="majorHAnsi" w:cstheme="majorHAnsi"/>
          <w:i/>
        </w:rPr>
        <w:t>conflict</w:t>
      </w:r>
      <w:r w:rsidRPr="000D5CB8">
        <w:rPr>
          <w:rFonts w:asciiTheme="majorHAnsi" w:eastAsia="Times New Roman" w:hAnsiTheme="majorHAnsi" w:cstheme="majorHAnsi"/>
        </w:rPr>
        <w:t xml:space="preserve"> text we’ll be examining is Revelation 13 and is often based on anti-imperial sentiments. The thrust to the interpretation of this text is based on which theological school one lands in when approaching the letter of Revelation. If one places this as purely future events then it has little bearing on how one views government in the present, especially if the church will be “raptured” at the time of the “Beast’s Government”: a “revived Roman empire," according to some futurist interpretations.</w:t>
      </w:r>
      <w:r w:rsidRPr="000D5CB8">
        <w:rPr>
          <w:rFonts w:asciiTheme="majorHAnsi" w:eastAsia="Times New Roman" w:hAnsiTheme="majorHAnsi" w:cstheme="majorHAnsi"/>
          <w:vertAlign w:val="superscript"/>
        </w:rPr>
        <w:footnoteReference w:id="3"/>
      </w:r>
      <w:r w:rsidRPr="000D5CB8">
        <w:rPr>
          <w:rFonts w:asciiTheme="majorHAnsi" w:eastAsia="Times New Roman" w:hAnsiTheme="majorHAnsi" w:cstheme="majorHAnsi"/>
        </w:rPr>
        <w:t xml:space="preserve"> Other approaches to this passage see this as something from the past yet can be applied to all believers of all times within the view that the Bible was written for us but not to us. In that perspective, it was written to seven churches in Asia Minor in the first century as the primary audience and it must have meant something for them in the first century context of the Roman empire and the emperor cult. Putting it purely in the future removes those churches from the context because they are purely an allegory of church history eras.</w:t>
      </w:r>
      <w:r w:rsidRPr="000D5CB8">
        <w:rPr>
          <w:rFonts w:asciiTheme="majorHAnsi" w:eastAsia="Times New Roman" w:hAnsiTheme="majorHAnsi" w:cstheme="majorHAnsi"/>
          <w:vertAlign w:val="superscript"/>
        </w:rPr>
        <w:footnoteReference w:id="4"/>
      </w:r>
      <w:r w:rsidRPr="000D5CB8">
        <w:rPr>
          <w:rFonts w:asciiTheme="majorHAnsi" w:eastAsia="Times New Roman" w:hAnsiTheme="majorHAnsi" w:cstheme="majorHAnsi"/>
        </w:rPr>
        <w:t xml:space="preserve">  </w:t>
      </w:r>
    </w:p>
    <w:p w14:paraId="79E8460C" w14:textId="77777777" w:rsidR="005E23AC" w:rsidRPr="000D5CB8" w:rsidRDefault="005E23AC" w:rsidP="000D5CB8">
      <w:pPr>
        <w:rPr>
          <w:rFonts w:asciiTheme="majorHAnsi" w:eastAsia="Times New Roman" w:hAnsiTheme="majorHAnsi" w:cstheme="majorHAnsi"/>
          <w:i/>
        </w:rPr>
      </w:pPr>
    </w:p>
    <w:p w14:paraId="5ED4317E" w14:textId="77777777" w:rsidR="005E23AC" w:rsidRPr="000D5CB8" w:rsidRDefault="006A3099" w:rsidP="000D5CB8">
      <w:pPr>
        <w:rPr>
          <w:rFonts w:asciiTheme="majorHAnsi" w:eastAsia="Times New Roman" w:hAnsiTheme="majorHAnsi" w:cstheme="majorHAnsi"/>
          <w:i/>
        </w:rPr>
      </w:pPr>
      <w:r w:rsidRPr="000D5CB8">
        <w:rPr>
          <w:rFonts w:asciiTheme="majorHAnsi" w:eastAsia="Times New Roman" w:hAnsiTheme="majorHAnsi" w:cstheme="majorHAnsi"/>
          <w:i/>
        </w:rPr>
        <w:t>Submission Texts (Romans 13:1-7 and 1 Peter 2:13-17)</w:t>
      </w:r>
    </w:p>
    <w:p w14:paraId="0D7BA7C9" w14:textId="77777777" w:rsidR="005E23AC" w:rsidRPr="000D5CB8" w:rsidRDefault="005E23AC" w:rsidP="000D5CB8">
      <w:pPr>
        <w:rPr>
          <w:rFonts w:asciiTheme="majorHAnsi" w:eastAsia="Times New Roman" w:hAnsiTheme="majorHAnsi" w:cstheme="majorHAnsi"/>
          <w:i/>
        </w:rPr>
      </w:pPr>
    </w:p>
    <w:p w14:paraId="5BE08AE8"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These submission texts have been used by state leaders throughout the world to support a “king’s right.” It’s interesting to examine how each person’s political </w:t>
      </w:r>
      <w:proofErr w:type="gramStart"/>
      <w:r w:rsidRPr="000D5CB8">
        <w:rPr>
          <w:rFonts w:asciiTheme="majorHAnsi" w:eastAsia="Times New Roman" w:hAnsiTheme="majorHAnsi" w:cstheme="majorHAnsi"/>
        </w:rPr>
        <w:t>contexts shape</w:t>
      </w:r>
      <w:proofErr w:type="gramEnd"/>
      <w:r w:rsidRPr="000D5CB8">
        <w:rPr>
          <w:rFonts w:asciiTheme="majorHAnsi" w:eastAsia="Times New Roman" w:hAnsiTheme="majorHAnsi" w:cstheme="majorHAnsi"/>
        </w:rPr>
        <w:t xml:space="preserve"> their view of these texts.  Hitler, Idi Amin, and other “Christian” state authorities have celebrated these texts as their divine ticket to extract justice on those who they deemed as enemies of the state. Not over a generation ago Romans 13 was hailed as the divine mandate for the apartheid in Africa. It was used by American leaders during years of segregation and slavery in America as the government’s right to enact these laws. In modern </w:t>
      </w:r>
      <w:proofErr w:type="gramStart"/>
      <w:r w:rsidRPr="000D5CB8">
        <w:rPr>
          <w:rFonts w:asciiTheme="majorHAnsi" w:eastAsia="Times New Roman" w:hAnsiTheme="majorHAnsi" w:cstheme="majorHAnsi"/>
        </w:rPr>
        <w:t>history</w:t>
      </w:r>
      <w:proofErr w:type="gramEnd"/>
      <w:r w:rsidRPr="000D5CB8">
        <w:rPr>
          <w:rFonts w:asciiTheme="majorHAnsi" w:eastAsia="Times New Roman" w:hAnsiTheme="majorHAnsi" w:cstheme="majorHAnsi"/>
        </w:rPr>
        <w:t xml:space="preserve"> George W. Bush used it to support the War on Terror. U.S.</w:t>
      </w:r>
      <w:r w:rsidRPr="000D5CB8">
        <w:rPr>
          <w:rFonts w:asciiTheme="majorHAnsi" w:eastAsia="Times New Roman" w:hAnsiTheme="majorHAnsi" w:cstheme="majorHAnsi"/>
          <w:vertAlign w:val="superscript"/>
        </w:rPr>
        <w:t xml:space="preserve"> </w:t>
      </w:r>
      <w:r w:rsidRPr="000D5CB8">
        <w:rPr>
          <w:rFonts w:asciiTheme="majorHAnsi" w:eastAsia="Times New Roman" w:hAnsiTheme="majorHAnsi" w:cstheme="majorHAnsi"/>
          <w:vertAlign w:val="superscript"/>
        </w:rPr>
        <w:footnoteReference w:id="5"/>
      </w:r>
      <w:r w:rsidRPr="000D5CB8">
        <w:rPr>
          <w:rFonts w:asciiTheme="majorHAnsi" w:eastAsia="Times New Roman" w:hAnsiTheme="majorHAnsi" w:cstheme="majorHAnsi"/>
        </w:rPr>
        <w:t xml:space="preserve"> Attorney General Jeff Sessions even used Romans 13 to enforce the government’s immigration policies of separating parents and children at the U.S. border:</w:t>
      </w:r>
    </w:p>
    <w:p w14:paraId="503DCBA9" w14:textId="77777777" w:rsidR="005E23AC" w:rsidRPr="000D5CB8" w:rsidRDefault="006A3099" w:rsidP="000D5CB8">
      <w:pPr>
        <w:ind w:left="720" w:right="720"/>
        <w:jc w:val="both"/>
        <w:rPr>
          <w:rFonts w:asciiTheme="majorHAnsi" w:eastAsia="Times New Roman" w:hAnsiTheme="majorHAnsi" w:cstheme="majorHAnsi"/>
          <w:color w:val="000000"/>
        </w:rPr>
      </w:pPr>
      <w:r w:rsidRPr="000D5CB8">
        <w:rPr>
          <w:rFonts w:asciiTheme="majorHAnsi" w:eastAsia="Times New Roman" w:hAnsiTheme="majorHAnsi" w:cstheme="majorHAnsi"/>
          <w:color w:val="000000"/>
        </w:rPr>
        <w:t xml:space="preserve">I would cite you to the Apostle Paul and his clear and wise command in Romans 13, to obey the laws of the government because God has ordained the government for his purposes…orderly and lawful processes are good in themselves. Consistent and fair application of the law is </w:t>
      </w:r>
      <w:proofErr w:type="gramStart"/>
      <w:r w:rsidRPr="000D5CB8">
        <w:rPr>
          <w:rFonts w:asciiTheme="majorHAnsi" w:eastAsia="Times New Roman" w:hAnsiTheme="majorHAnsi" w:cstheme="majorHAnsi"/>
          <w:color w:val="000000"/>
        </w:rPr>
        <w:t>in itself a</w:t>
      </w:r>
      <w:proofErr w:type="gramEnd"/>
      <w:r w:rsidRPr="000D5CB8">
        <w:rPr>
          <w:rFonts w:asciiTheme="majorHAnsi" w:eastAsia="Times New Roman" w:hAnsiTheme="majorHAnsi" w:cstheme="majorHAnsi"/>
          <w:color w:val="000000"/>
        </w:rPr>
        <w:t xml:space="preserve"> good and moral thing, and that protects the weak and protects the lawful.</w:t>
      </w:r>
      <w:r w:rsidRPr="000D5CB8">
        <w:rPr>
          <w:rFonts w:asciiTheme="majorHAnsi" w:eastAsia="Times New Roman" w:hAnsiTheme="majorHAnsi" w:cstheme="majorHAnsi"/>
          <w:color w:val="000000"/>
          <w:vertAlign w:val="superscript"/>
        </w:rPr>
        <w:footnoteReference w:id="6"/>
      </w:r>
    </w:p>
    <w:p w14:paraId="6DBAE304" w14:textId="77777777" w:rsidR="005E23AC" w:rsidRPr="000D5CB8" w:rsidRDefault="005E23AC" w:rsidP="000D5CB8">
      <w:pPr>
        <w:rPr>
          <w:rFonts w:asciiTheme="majorHAnsi" w:eastAsia="Times New Roman" w:hAnsiTheme="majorHAnsi" w:cstheme="majorHAnsi"/>
        </w:rPr>
      </w:pPr>
    </w:p>
    <w:p w14:paraId="35A3FB60"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The same methodology was used during the American Revolution, as it was invoked by loyalists to oppose slavery and in the 1840’s and 1850’s by the South to defend slavery and fend off the abolitionists as well.</w:t>
      </w:r>
      <w:r w:rsidRPr="000D5CB8">
        <w:rPr>
          <w:rFonts w:asciiTheme="majorHAnsi" w:eastAsia="Times New Roman" w:hAnsiTheme="majorHAnsi" w:cstheme="majorHAnsi"/>
          <w:vertAlign w:val="superscript"/>
        </w:rPr>
        <w:footnoteReference w:id="7"/>
      </w:r>
      <w:r w:rsidRPr="000D5CB8">
        <w:rPr>
          <w:rFonts w:asciiTheme="majorHAnsi" w:eastAsia="Times New Roman" w:hAnsiTheme="majorHAnsi" w:cstheme="majorHAnsi"/>
        </w:rPr>
        <w:t xml:space="preserve">  </w:t>
      </w:r>
      <w:r w:rsidRPr="000D5CB8">
        <w:rPr>
          <w:rFonts w:asciiTheme="majorHAnsi" w:eastAsia="Times New Roman" w:hAnsiTheme="majorHAnsi" w:cstheme="majorHAnsi"/>
        </w:rPr>
        <w:lastRenderedPageBreak/>
        <w:t xml:space="preserve">These texts have often, at least in modern interpretations, been used to support the God ordained actions of the state against whoever opposes it. This has encouraged those who live under that state, Christian and non-Christian alike, to form an uncritical allegiance to the state leaders when these texts are cited. </w:t>
      </w:r>
    </w:p>
    <w:p w14:paraId="6EEF7381" w14:textId="77777777" w:rsidR="005E23AC" w:rsidRPr="000D5CB8" w:rsidRDefault="005E23AC" w:rsidP="000D5CB8">
      <w:pPr>
        <w:rPr>
          <w:rFonts w:asciiTheme="majorHAnsi" w:eastAsia="Times New Roman" w:hAnsiTheme="majorHAnsi" w:cstheme="majorHAnsi"/>
          <w:i/>
        </w:rPr>
      </w:pPr>
    </w:p>
    <w:p w14:paraId="732F0FB3" w14:textId="77777777" w:rsidR="005E23AC" w:rsidRPr="000D5CB8" w:rsidRDefault="006A3099" w:rsidP="000D5CB8">
      <w:pPr>
        <w:rPr>
          <w:rFonts w:asciiTheme="majorHAnsi" w:eastAsia="Times New Roman" w:hAnsiTheme="majorHAnsi" w:cstheme="majorHAnsi"/>
          <w:i/>
        </w:rPr>
      </w:pPr>
      <w:r w:rsidRPr="000D5CB8">
        <w:rPr>
          <w:rFonts w:asciiTheme="majorHAnsi" w:eastAsia="Times New Roman" w:hAnsiTheme="majorHAnsi" w:cstheme="majorHAnsi"/>
          <w:i/>
        </w:rPr>
        <w:t>Patristic Interpretations</w:t>
      </w:r>
    </w:p>
    <w:p w14:paraId="6F7A3F55" w14:textId="77777777" w:rsidR="005E23AC" w:rsidRPr="000D5CB8" w:rsidRDefault="005E23AC" w:rsidP="000D5CB8">
      <w:pPr>
        <w:rPr>
          <w:rFonts w:asciiTheme="majorHAnsi" w:eastAsia="Times New Roman" w:hAnsiTheme="majorHAnsi" w:cstheme="majorHAnsi"/>
        </w:rPr>
      </w:pPr>
    </w:p>
    <w:p w14:paraId="3FDCA314"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We will begin looking at the interpretive framework of the submission texts by summarizing the patristic period’s view on the topic. This is considered the period following the Apostles (approximately 90 AD) up to the era of Constantine (approximately 300 AD). Some call these interpreters the “Early Church Fathers” (ECF). </w:t>
      </w:r>
    </w:p>
    <w:p w14:paraId="0E691235"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Origen, an ECF in the second century, comments much on the submission texts, especially as they deal with the persecution of believers by the authorities. His interpretations are in line with what I’ve found for most of the Patristic period of church history, especially in times of persecution.  He questioned how these authorities could be from God if they were coming against God’s own people, the church. His response was that authorities on earth are like senses given to humans; even as senses can be abused, authority can be as well. The governments that misuse authority will face God’s judgment.</w:t>
      </w:r>
      <w:r w:rsidRPr="000D5CB8">
        <w:rPr>
          <w:rFonts w:asciiTheme="majorHAnsi" w:eastAsia="Times New Roman" w:hAnsiTheme="majorHAnsi" w:cstheme="majorHAnsi"/>
          <w:vertAlign w:val="superscript"/>
        </w:rPr>
        <w:footnoteReference w:id="8"/>
      </w:r>
      <w:r w:rsidRPr="000D5CB8">
        <w:rPr>
          <w:rFonts w:asciiTheme="majorHAnsi" w:eastAsia="Times New Roman" w:hAnsiTheme="majorHAnsi" w:cstheme="majorHAnsi"/>
        </w:rPr>
        <w:t xml:space="preserve"> Origen agreed with Paul that the government was an instrument of God, but it troubled him to think of it as such. His response was that it was an enforcer of basic moral standards (against murder and theft). And in that sense alone, it is a minister of God.</w:t>
      </w:r>
      <w:r w:rsidRPr="000D5CB8">
        <w:rPr>
          <w:rFonts w:asciiTheme="majorHAnsi" w:eastAsia="Times New Roman" w:hAnsiTheme="majorHAnsi" w:cstheme="majorHAnsi"/>
          <w:vertAlign w:val="superscript"/>
        </w:rPr>
        <w:footnoteReference w:id="9"/>
      </w:r>
      <w:r w:rsidRPr="000D5CB8">
        <w:rPr>
          <w:rFonts w:asciiTheme="majorHAnsi" w:eastAsia="Times New Roman" w:hAnsiTheme="majorHAnsi" w:cstheme="majorHAnsi"/>
        </w:rPr>
        <w:t xml:space="preserve"> Origen makes a clear distinction between obeying the law and Christian discipleship when addressing Celsus:</w:t>
      </w:r>
    </w:p>
    <w:p w14:paraId="6FEC29DB" w14:textId="77777777" w:rsidR="005E23AC" w:rsidRPr="000D5CB8" w:rsidRDefault="006A3099" w:rsidP="000D5CB8">
      <w:pPr>
        <w:ind w:left="720" w:right="720"/>
        <w:jc w:val="both"/>
        <w:rPr>
          <w:rFonts w:asciiTheme="majorHAnsi" w:eastAsia="Times New Roman" w:hAnsiTheme="majorHAnsi" w:cstheme="majorHAnsi"/>
          <w:i/>
        </w:rPr>
      </w:pPr>
      <w:r w:rsidRPr="000D5CB8">
        <w:rPr>
          <w:rFonts w:asciiTheme="majorHAnsi" w:eastAsia="Times New Roman" w:hAnsiTheme="majorHAnsi" w:cstheme="majorHAnsi"/>
        </w:rPr>
        <w:t xml:space="preserve">Celsus [a pagan critic] would have us obey such laws and to propitiate the demons. If he means laws enacted in states, he must show that they </w:t>
      </w:r>
      <w:proofErr w:type="gramStart"/>
      <w:r w:rsidRPr="000D5CB8">
        <w:rPr>
          <w:rFonts w:asciiTheme="majorHAnsi" w:eastAsia="Times New Roman" w:hAnsiTheme="majorHAnsi" w:cstheme="majorHAnsi"/>
        </w:rPr>
        <w:t>are in agreement</w:t>
      </w:r>
      <w:proofErr w:type="gramEnd"/>
      <w:r w:rsidRPr="000D5CB8">
        <w:rPr>
          <w:rFonts w:asciiTheme="majorHAnsi" w:eastAsia="Times New Roman" w:hAnsiTheme="majorHAnsi" w:cstheme="majorHAnsi"/>
        </w:rPr>
        <w:t xml:space="preserve"> with the divine laws. However, if this cannot be done, … these laws must therefore either be no laws at all (in the proper sense of the word) or else must be the enactments of wicked men. And we must not obey such men, for “we must obey God rather than men.” </w:t>
      </w:r>
      <w:r w:rsidRPr="000D5CB8">
        <w:rPr>
          <w:rFonts w:asciiTheme="majorHAnsi" w:eastAsia="Times New Roman" w:hAnsiTheme="majorHAnsi" w:cstheme="majorHAnsi"/>
          <w:i/>
        </w:rPr>
        <w:t>Origen (c. 248, E), 4.649.</w:t>
      </w:r>
      <w:r w:rsidRPr="000D5CB8">
        <w:rPr>
          <w:rFonts w:asciiTheme="majorHAnsi" w:eastAsia="Times New Roman" w:hAnsiTheme="majorHAnsi" w:cstheme="majorHAnsi"/>
          <w:vertAlign w:val="superscript"/>
        </w:rPr>
        <w:footnoteReference w:id="10"/>
      </w:r>
    </w:p>
    <w:p w14:paraId="520EB603" w14:textId="77777777" w:rsidR="005E23AC" w:rsidRPr="000D5CB8" w:rsidRDefault="005E23AC" w:rsidP="000D5CB8">
      <w:pPr>
        <w:jc w:val="both"/>
        <w:rPr>
          <w:rFonts w:asciiTheme="majorHAnsi" w:eastAsia="Times New Roman" w:hAnsiTheme="majorHAnsi" w:cstheme="majorHAnsi"/>
        </w:rPr>
      </w:pPr>
    </w:p>
    <w:p w14:paraId="196969E2"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Origen advocates for Christians to distance themselves from human state authorities and public service in government positions and military. This is based on his view that Christ is the true king (Caesar is not) and that is the kingdom in which a Christian’s allegiance and service lies. When confronted with the issues of military service, state violence, and state office the ECF took a non-participatory, nonviolent, and non-combatant stance in the world </w:t>
      </w:r>
      <w:proofErr w:type="gramStart"/>
      <w:r w:rsidRPr="000D5CB8">
        <w:rPr>
          <w:rFonts w:asciiTheme="majorHAnsi" w:eastAsia="Times New Roman" w:hAnsiTheme="majorHAnsi" w:cstheme="majorHAnsi"/>
        </w:rPr>
        <w:t>in an effort to</w:t>
      </w:r>
      <w:proofErr w:type="gramEnd"/>
      <w:r w:rsidRPr="000D5CB8">
        <w:rPr>
          <w:rFonts w:asciiTheme="majorHAnsi" w:eastAsia="Times New Roman" w:hAnsiTheme="majorHAnsi" w:cstheme="majorHAnsi"/>
        </w:rPr>
        <w:t xml:space="preserve"> reflect the actions they saw in Jesus,</w:t>
      </w:r>
    </w:p>
    <w:p w14:paraId="7C0FBFF1" w14:textId="77777777" w:rsidR="005E23AC" w:rsidRPr="000D5CB8" w:rsidRDefault="006A3099" w:rsidP="000D5CB8">
      <w:pPr>
        <w:ind w:left="720" w:right="720"/>
        <w:jc w:val="both"/>
        <w:rPr>
          <w:rFonts w:asciiTheme="majorHAnsi" w:eastAsia="Times New Roman" w:hAnsiTheme="majorHAnsi" w:cstheme="majorHAnsi"/>
          <w:i/>
        </w:rPr>
      </w:pPr>
      <w:r w:rsidRPr="000D5CB8">
        <w:rPr>
          <w:rFonts w:asciiTheme="majorHAnsi" w:eastAsia="Times New Roman" w:hAnsiTheme="majorHAnsi" w:cstheme="majorHAnsi"/>
        </w:rPr>
        <w:t xml:space="preserve">We are to scorn trying to ingratiate ourselves with kings or any other men—not only if their favor is to be won by murders, licentiousness, or deeds of cruelty—but even if it involves impiety towards God, or any servile expressions of flattery and fawning. For those things are unworthy of brave and high-principled men.… However, although we do nothing that is contrary to the law and Word of God, we are not so insane as to [purposefully] stir up against us the wrath of kings and rulers. For they will bring upon us sufferings, tortures, or even death. We read, “Let every soul be subject to the higher powers. For there is no power but of God.” … However, we will never swear by ‘the fortune of the king’, nor by anything else that is considered equivalent to God. For if the word ‘fortune’ is nothing but an expression for the uncertain course of events (as </w:t>
      </w:r>
      <w:r w:rsidRPr="000D5CB8">
        <w:rPr>
          <w:rFonts w:asciiTheme="majorHAnsi" w:eastAsia="Times New Roman" w:hAnsiTheme="majorHAnsi" w:cstheme="majorHAnsi"/>
        </w:rPr>
        <w:lastRenderedPageBreak/>
        <w:t xml:space="preserve">some say) … we do not swear by that … lest we bind ourselves by an oath to things that have no existence. </w:t>
      </w:r>
      <w:r w:rsidRPr="000D5CB8">
        <w:rPr>
          <w:rFonts w:asciiTheme="majorHAnsi" w:eastAsia="Times New Roman" w:hAnsiTheme="majorHAnsi" w:cstheme="majorHAnsi"/>
          <w:i/>
        </w:rPr>
        <w:t>Origen (c. 248, E), 4.664.</w:t>
      </w:r>
      <w:r w:rsidRPr="000D5CB8">
        <w:rPr>
          <w:rFonts w:asciiTheme="majorHAnsi" w:eastAsia="Times New Roman" w:hAnsiTheme="majorHAnsi" w:cstheme="majorHAnsi"/>
          <w:vertAlign w:val="superscript"/>
        </w:rPr>
        <w:footnoteReference w:id="11"/>
      </w:r>
    </w:p>
    <w:p w14:paraId="03436D47" w14:textId="77777777" w:rsidR="005E23AC" w:rsidRPr="000D5CB8" w:rsidRDefault="005E23AC" w:rsidP="000D5CB8">
      <w:pPr>
        <w:ind w:left="720" w:right="720"/>
        <w:jc w:val="both"/>
        <w:rPr>
          <w:rFonts w:asciiTheme="majorHAnsi" w:eastAsia="Times New Roman" w:hAnsiTheme="majorHAnsi" w:cstheme="majorHAnsi"/>
          <w:i/>
        </w:rPr>
      </w:pPr>
    </w:p>
    <w:p w14:paraId="4CC3DF7C" w14:textId="77777777" w:rsidR="005E23AC" w:rsidRPr="000D5CB8" w:rsidRDefault="006A3099" w:rsidP="000D5CB8">
      <w:pPr>
        <w:ind w:left="720" w:right="720"/>
        <w:jc w:val="both"/>
        <w:rPr>
          <w:rFonts w:asciiTheme="majorHAnsi" w:eastAsia="Times New Roman" w:hAnsiTheme="majorHAnsi" w:cstheme="majorHAnsi"/>
          <w:i/>
        </w:rPr>
      </w:pPr>
      <w:r w:rsidRPr="000D5CB8">
        <w:rPr>
          <w:rFonts w:asciiTheme="majorHAnsi" w:eastAsia="Times New Roman" w:hAnsiTheme="majorHAnsi" w:cstheme="majorHAnsi"/>
        </w:rPr>
        <w:t xml:space="preserve">Celsus also urges us to ‘take office in the government of the country, if that is necessary for the maintenance of the laws and the support of religion.’ However, we recognize in each state the existence of another national organization that was founded by the Word of God. And we exhort those who are mighty in </w:t>
      </w:r>
      <w:proofErr w:type="gramStart"/>
      <w:r w:rsidRPr="000D5CB8">
        <w:rPr>
          <w:rFonts w:asciiTheme="majorHAnsi" w:eastAsia="Times New Roman" w:hAnsiTheme="majorHAnsi" w:cstheme="majorHAnsi"/>
        </w:rPr>
        <w:t>word</w:t>
      </w:r>
      <w:proofErr w:type="gramEnd"/>
      <w:r w:rsidRPr="000D5CB8">
        <w:rPr>
          <w:rFonts w:asciiTheme="majorHAnsi" w:eastAsia="Times New Roman" w:hAnsiTheme="majorHAnsi" w:cstheme="majorHAnsi"/>
        </w:rPr>
        <w:t xml:space="preserve"> and of blameless life to rule over churches</w:t>
      </w:r>
      <w:proofErr w:type="gramStart"/>
      <w:r w:rsidRPr="000D5CB8">
        <w:rPr>
          <w:rFonts w:asciiTheme="majorHAnsi" w:eastAsia="Times New Roman" w:hAnsiTheme="majorHAnsi" w:cstheme="majorHAnsi"/>
        </w:rPr>
        <w:t>.…</w:t>
      </w:r>
      <w:proofErr w:type="gramEnd"/>
      <w:r w:rsidRPr="000D5CB8">
        <w:rPr>
          <w:rFonts w:asciiTheme="majorHAnsi" w:eastAsia="Times New Roman" w:hAnsiTheme="majorHAnsi" w:cstheme="majorHAnsi"/>
        </w:rPr>
        <w:t xml:space="preserve"> So, it is not for the purpose of escaping public duties that Christians decline public offices. Rather, it is so they may reserve themselves for a more divine and necessary service in the church of God—for the salvation of men. </w:t>
      </w:r>
      <w:r w:rsidRPr="000D5CB8">
        <w:rPr>
          <w:rFonts w:asciiTheme="majorHAnsi" w:eastAsia="Times New Roman" w:hAnsiTheme="majorHAnsi" w:cstheme="majorHAnsi"/>
          <w:i/>
        </w:rPr>
        <w:t>Origen (c. 248, E), 4.668.</w:t>
      </w:r>
      <w:r w:rsidRPr="000D5CB8">
        <w:rPr>
          <w:rFonts w:asciiTheme="majorHAnsi" w:eastAsia="Times New Roman" w:hAnsiTheme="majorHAnsi" w:cstheme="majorHAnsi"/>
          <w:vertAlign w:val="superscript"/>
        </w:rPr>
        <w:footnoteReference w:id="12"/>
      </w:r>
    </w:p>
    <w:p w14:paraId="116175B6" w14:textId="77777777" w:rsidR="005E23AC" w:rsidRPr="000D5CB8" w:rsidRDefault="005E23AC" w:rsidP="000D5CB8">
      <w:pPr>
        <w:ind w:left="720" w:right="720"/>
        <w:jc w:val="both"/>
        <w:rPr>
          <w:rFonts w:asciiTheme="majorHAnsi" w:eastAsia="Times New Roman" w:hAnsiTheme="majorHAnsi" w:cstheme="majorHAnsi"/>
          <w:i/>
        </w:rPr>
      </w:pPr>
    </w:p>
    <w:p w14:paraId="62ED938B" w14:textId="77777777" w:rsidR="005E23AC" w:rsidRPr="000D5CB8" w:rsidRDefault="006A3099" w:rsidP="000D5CB8">
      <w:pPr>
        <w:ind w:left="720" w:right="720"/>
        <w:jc w:val="both"/>
        <w:rPr>
          <w:rFonts w:asciiTheme="majorHAnsi" w:eastAsia="Times New Roman" w:hAnsiTheme="majorHAnsi" w:cstheme="majorHAnsi"/>
        </w:rPr>
      </w:pPr>
      <w:r w:rsidRPr="000D5CB8">
        <w:rPr>
          <w:rFonts w:asciiTheme="majorHAnsi" w:eastAsia="Times New Roman" w:hAnsiTheme="majorHAnsi" w:cstheme="majorHAnsi"/>
        </w:rPr>
        <w:t xml:space="preserve">Our prayers defeat all demons who stir up war. Those demons also lead </w:t>
      </w:r>
      <w:proofErr w:type="gramStart"/>
      <w:r w:rsidRPr="000D5CB8">
        <w:rPr>
          <w:rFonts w:asciiTheme="majorHAnsi" w:eastAsia="Times New Roman" w:hAnsiTheme="majorHAnsi" w:cstheme="majorHAnsi"/>
        </w:rPr>
        <w:t>persons</w:t>
      </w:r>
      <w:proofErr w:type="gramEnd"/>
      <w:r w:rsidRPr="000D5CB8">
        <w:rPr>
          <w:rFonts w:asciiTheme="majorHAnsi" w:eastAsia="Times New Roman" w:hAnsiTheme="majorHAnsi" w:cstheme="majorHAnsi"/>
        </w:rPr>
        <w:t xml:space="preserve"> to violate their oaths and to disturb the peace. Accordingly, in this way, we are much more helpful to </w:t>
      </w:r>
      <w:proofErr w:type="gramStart"/>
      <w:r w:rsidRPr="000D5CB8">
        <w:rPr>
          <w:rFonts w:asciiTheme="majorHAnsi" w:eastAsia="Times New Roman" w:hAnsiTheme="majorHAnsi" w:cstheme="majorHAnsi"/>
        </w:rPr>
        <w:t>the kings</w:t>
      </w:r>
      <w:proofErr w:type="gramEnd"/>
      <w:r w:rsidRPr="000D5CB8">
        <w:rPr>
          <w:rFonts w:asciiTheme="majorHAnsi" w:eastAsia="Times New Roman" w:hAnsiTheme="majorHAnsi" w:cstheme="majorHAnsi"/>
        </w:rPr>
        <w:t xml:space="preserve"> than those who go into the field to fight for them. And we do take our part in public affairs when we join self-denying exercises to our righteous prayers and meditations, which teach us to despise pleasures and not to be led away by them. So, none </w:t>
      </w:r>
      <w:proofErr w:type="gramStart"/>
      <w:r w:rsidRPr="000D5CB8">
        <w:rPr>
          <w:rFonts w:asciiTheme="majorHAnsi" w:eastAsia="Times New Roman" w:hAnsiTheme="majorHAnsi" w:cstheme="majorHAnsi"/>
        </w:rPr>
        <w:t>fight</w:t>
      </w:r>
      <w:proofErr w:type="gramEnd"/>
      <w:r w:rsidRPr="000D5CB8">
        <w:rPr>
          <w:rFonts w:asciiTheme="majorHAnsi" w:eastAsia="Times New Roman" w:hAnsiTheme="majorHAnsi" w:cstheme="majorHAnsi"/>
        </w:rPr>
        <w:t xml:space="preserve"> better for the king than we do. Indeed, we do not fight under him even if he demands it. Yet, we fight on his behalf, forming a special army—an army of godliness—by offering our prayers to God. And if Celsus would have us ‘lead armies in defense of our country’, let him know that we do this too. And we do not do it for the purpose of being seen by men or for vainglory. For in secret, and in our own hearts, our prayers ascend on behalf of our fellow-citizens, as from priests. And Christians are benefactors of their country more than others. For they train up citizens and inculcate piety to the Supreme Being. And they promote to a divine and heavenly city those whose lives in the smallest cities have been good and worthy. </w:t>
      </w:r>
      <w:r w:rsidRPr="000D5CB8">
        <w:rPr>
          <w:rFonts w:asciiTheme="majorHAnsi" w:eastAsia="Times New Roman" w:hAnsiTheme="majorHAnsi" w:cstheme="majorHAnsi"/>
          <w:i/>
        </w:rPr>
        <w:t>Origen (c. 248, E), 4.667, 668.</w:t>
      </w:r>
      <w:r w:rsidRPr="000D5CB8">
        <w:rPr>
          <w:rFonts w:asciiTheme="majorHAnsi" w:eastAsia="Times New Roman" w:hAnsiTheme="majorHAnsi" w:cstheme="majorHAnsi"/>
          <w:vertAlign w:val="superscript"/>
        </w:rPr>
        <w:footnoteReference w:id="13"/>
      </w:r>
    </w:p>
    <w:p w14:paraId="4F421FD3" w14:textId="77777777" w:rsidR="005E23AC" w:rsidRPr="000D5CB8" w:rsidRDefault="005E23AC" w:rsidP="000D5CB8">
      <w:pPr>
        <w:jc w:val="both"/>
        <w:rPr>
          <w:rFonts w:asciiTheme="majorHAnsi" w:eastAsia="Times New Roman" w:hAnsiTheme="majorHAnsi" w:cstheme="majorHAnsi"/>
        </w:rPr>
      </w:pPr>
    </w:p>
    <w:p w14:paraId="36CBC3CF"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Origen interprets Romans 13:5-6 along the lines of quietism, where if Christians disobey the government in the function of paying taxes and are punished or martyred for it then they are not a martyr at all.</w:t>
      </w:r>
      <w:r w:rsidRPr="000D5CB8">
        <w:rPr>
          <w:rFonts w:asciiTheme="majorHAnsi" w:eastAsia="Times New Roman" w:hAnsiTheme="majorHAnsi" w:cstheme="majorHAnsi"/>
          <w:vertAlign w:val="superscript"/>
        </w:rPr>
        <w:footnoteReference w:id="14"/>
      </w:r>
      <w:r w:rsidRPr="000D5CB8">
        <w:rPr>
          <w:rFonts w:asciiTheme="majorHAnsi" w:eastAsia="Times New Roman" w:hAnsiTheme="majorHAnsi" w:cstheme="majorHAnsi"/>
        </w:rPr>
        <w:t xml:space="preserve"> Origen treats true martyrdom as a means of “destroying the state” saying, “The martyrs in Christ disarm the principalities and powers with Him, and they share His triumph as fellows of His sufferings. These deeds include triumphing over the principalities and powers, which in a short time you will see conquered and put to shame.”</w:t>
      </w:r>
      <w:r w:rsidRPr="000D5CB8">
        <w:rPr>
          <w:rFonts w:asciiTheme="majorHAnsi" w:eastAsia="Times New Roman" w:hAnsiTheme="majorHAnsi" w:cstheme="majorHAnsi"/>
          <w:vertAlign w:val="superscript"/>
        </w:rPr>
        <w:footnoteReference w:id="15"/>
      </w:r>
      <w:r w:rsidRPr="000D5CB8">
        <w:rPr>
          <w:rFonts w:asciiTheme="majorHAnsi" w:eastAsia="Times New Roman" w:hAnsiTheme="majorHAnsi" w:cstheme="majorHAnsi"/>
        </w:rPr>
        <w:t xml:space="preserve"> He also mentions the only other use in Romans of the “sword” (Rom 8:35-36) is to mention martyrdom and thus the fear and honor that is owed in these passages is more to God than to human authority.</w:t>
      </w:r>
      <w:r w:rsidRPr="000D5CB8">
        <w:rPr>
          <w:rFonts w:asciiTheme="majorHAnsi" w:eastAsia="Times New Roman" w:hAnsiTheme="majorHAnsi" w:cstheme="majorHAnsi"/>
          <w:vertAlign w:val="superscript"/>
        </w:rPr>
        <w:footnoteReference w:id="16"/>
      </w:r>
      <w:r w:rsidRPr="000D5CB8">
        <w:rPr>
          <w:rFonts w:asciiTheme="majorHAnsi" w:eastAsia="Times New Roman" w:hAnsiTheme="majorHAnsi" w:cstheme="majorHAnsi"/>
        </w:rPr>
        <w:t xml:space="preserve"> </w:t>
      </w:r>
    </w:p>
    <w:p w14:paraId="4223B417"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Like Origen, Tertullian viewed the empire as contrary to the kingdom of God, commenting on Jesus’s words about “render unto Caesar”:</w:t>
      </w:r>
    </w:p>
    <w:p w14:paraId="6EC0B2AA" w14:textId="77777777" w:rsidR="005E23AC" w:rsidRPr="000D5CB8" w:rsidRDefault="006A3099" w:rsidP="000D5CB8">
      <w:pPr>
        <w:ind w:left="720" w:right="720"/>
        <w:jc w:val="both"/>
        <w:rPr>
          <w:rFonts w:asciiTheme="majorHAnsi" w:eastAsia="Times New Roman" w:hAnsiTheme="majorHAnsi" w:cstheme="majorHAnsi"/>
          <w:i/>
        </w:rPr>
      </w:pPr>
      <w:r w:rsidRPr="000D5CB8">
        <w:rPr>
          <w:rFonts w:asciiTheme="majorHAnsi" w:eastAsia="Times New Roman" w:hAnsiTheme="majorHAnsi" w:cstheme="majorHAnsi"/>
        </w:rPr>
        <w:t xml:space="preserve">“Render unto Caesar the things that are Caesar’s, and unto God the things that are God’s.” What will be “the things that are God’s?" Such </w:t>
      </w:r>
      <w:proofErr w:type="gramStart"/>
      <w:r w:rsidRPr="000D5CB8">
        <w:rPr>
          <w:rFonts w:asciiTheme="majorHAnsi" w:eastAsia="Times New Roman" w:hAnsiTheme="majorHAnsi" w:cstheme="majorHAnsi"/>
        </w:rPr>
        <w:t>things as</w:t>
      </w:r>
      <w:proofErr w:type="gramEnd"/>
      <w:r w:rsidRPr="000D5CB8">
        <w:rPr>
          <w:rFonts w:asciiTheme="majorHAnsi" w:eastAsia="Times New Roman" w:hAnsiTheme="majorHAnsi" w:cstheme="majorHAnsi"/>
        </w:rPr>
        <w:t xml:space="preserve"> are parallel to Caesar’s denarius. </w:t>
      </w:r>
      <w:proofErr w:type="gramStart"/>
      <w:r w:rsidRPr="000D5CB8">
        <w:rPr>
          <w:rFonts w:asciiTheme="majorHAnsi" w:eastAsia="Times New Roman" w:hAnsiTheme="majorHAnsi" w:cstheme="majorHAnsi"/>
        </w:rPr>
        <w:t xml:space="preserve">That is to say, </w:t>
      </w:r>
      <w:r w:rsidRPr="000D5CB8">
        <w:rPr>
          <w:rFonts w:asciiTheme="majorHAnsi" w:eastAsia="Times New Roman" w:hAnsiTheme="majorHAnsi" w:cstheme="majorHAnsi"/>
        </w:rPr>
        <w:lastRenderedPageBreak/>
        <w:t>His</w:t>
      </w:r>
      <w:proofErr w:type="gramEnd"/>
      <w:r w:rsidRPr="000D5CB8">
        <w:rPr>
          <w:rFonts w:asciiTheme="majorHAnsi" w:eastAsia="Times New Roman" w:hAnsiTheme="majorHAnsi" w:cstheme="majorHAnsi"/>
        </w:rPr>
        <w:t xml:space="preserve"> image and likeness. Therefore, what God commands to be rendered unto God the Creator is man himself. For man has been stamped with His image, likeness, name, and substance. </w:t>
      </w:r>
      <w:r w:rsidRPr="000D5CB8">
        <w:rPr>
          <w:rFonts w:asciiTheme="majorHAnsi" w:eastAsia="Times New Roman" w:hAnsiTheme="majorHAnsi" w:cstheme="majorHAnsi"/>
          <w:i/>
        </w:rPr>
        <w:t>Tertullian (c. 207, W), 3.413.</w:t>
      </w:r>
      <w:r w:rsidRPr="000D5CB8">
        <w:rPr>
          <w:rFonts w:asciiTheme="majorHAnsi" w:eastAsia="Times New Roman" w:hAnsiTheme="majorHAnsi" w:cstheme="majorHAnsi"/>
          <w:vertAlign w:val="superscript"/>
        </w:rPr>
        <w:footnoteReference w:id="17"/>
      </w:r>
    </w:p>
    <w:p w14:paraId="71931B91" w14:textId="77777777" w:rsidR="005E23AC" w:rsidRPr="000D5CB8" w:rsidRDefault="005E23AC" w:rsidP="000D5CB8">
      <w:pPr>
        <w:ind w:left="720" w:right="720"/>
        <w:jc w:val="both"/>
        <w:rPr>
          <w:rFonts w:asciiTheme="majorHAnsi" w:eastAsia="Times New Roman" w:hAnsiTheme="majorHAnsi" w:cstheme="majorHAnsi"/>
        </w:rPr>
      </w:pPr>
    </w:p>
    <w:p w14:paraId="33957499" w14:textId="77777777" w:rsidR="005E23AC" w:rsidRPr="000D5CB8" w:rsidRDefault="006A3099" w:rsidP="000D5CB8">
      <w:pPr>
        <w:ind w:right="720"/>
        <w:jc w:val="both"/>
        <w:rPr>
          <w:rFonts w:asciiTheme="majorHAnsi" w:eastAsia="Times New Roman" w:hAnsiTheme="majorHAnsi" w:cstheme="majorHAnsi"/>
        </w:rPr>
      </w:pPr>
      <w:r w:rsidRPr="000D5CB8">
        <w:rPr>
          <w:rFonts w:asciiTheme="majorHAnsi" w:eastAsia="Times New Roman" w:hAnsiTheme="majorHAnsi" w:cstheme="majorHAnsi"/>
        </w:rPr>
        <w:t xml:space="preserve">He also realized how quickly rulers and nations can claim a sense of divine honor that can even entangle believers, citing Romans 13 and 1 Peter 2 he says: </w:t>
      </w:r>
    </w:p>
    <w:p w14:paraId="07A6F338" w14:textId="77777777" w:rsidR="005E23AC" w:rsidRPr="000D5CB8" w:rsidRDefault="006A3099" w:rsidP="000D5CB8">
      <w:pPr>
        <w:ind w:left="720" w:right="720"/>
        <w:jc w:val="both"/>
        <w:rPr>
          <w:rFonts w:asciiTheme="majorHAnsi" w:eastAsia="Times New Roman" w:hAnsiTheme="majorHAnsi" w:cstheme="majorHAnsi"/>
        </w:rPr>
      </w:pPr>
      <w:r w:rsidRPr="000D5CB8">
        <w:rPr>
          <w:rFonts w:asciiTheme="majorHAnsi" w:eastAsia="Times New Roman" w:hAnsiTheme="majorHAnsi" w:cstheme="majorHAnsi"/>
        </w:rPr>
        <w:t xml:space="preserve">No doubt the apostle admonishes the Romans to be subject to all powers, for there is no power but of God.… Then he goes on to show also how he wishes you to be subject to the powers, exhorting you to pay “tribute to whom tribute is due, custom to whom custom [is due].” In other words, give the things that are Caesar’s back to Caesar, and the things that are God’s to God. But man is the property of God alone. Similarly, Peter, no doubt, had said that the king indeed must be honored. But he means that the king is honored only when he keeps to his own sphere—that is, when he is far from claiming divine honors. </w:t>
      </w:r>
      <w:r w:rsidRPr="000D5CB8">
        <w:rPr>
          <w:rFonts w:asciiTheme="majorHAnsi" w:eastAsia="Times New Roman" w:hAnsiTheme="majorHAnsi" w:cstheme="majorHAnsi"/>
          <w:i/>
        </w:rPr>
        <w:t>Tertullian (c. 213, W), 3.647, 648.</w:t>
      </w:r>
      <w:r w:rsidRPr="000D5CB8">
        <w:rPr>
          <w:rFonts w:asciiTheme="majorHAnsi" w:eastAsia="Times New Roman" w:hAnsiTheme="majorHAnsi" w:cstheme="majorHAnsi"/>
          <w:vertAlign w:val="superscript"/>
        </w:rPr>
        <w:footnoteReference w:id="18"/>
      </w:r>
    </w:p>
    <w:p w14:paraId="2ACD5275" w14:textId="77777777" w:rsidR="005E23AC" w:rsidRPr="000D5CB8" w:rsidRDefault="005E23AC" w:rsidP="000D5CB8">
      <w:pPr>
        <w:ind w:left="720" w:right="720"/>
        <w:jc w:val="both"/>
        <w:rPr>
          <w:rFonts w:asciiTheme="majorHAnsi" w:eastAsia="Times New Roman" w:hAnsiTheme="majorHAnsi" w:cstheme="majorHAnsi"/>
        </w:rPr>
      </w:pPr>
    </w:p>
    <w:p w14:paraId="21E1254D"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The tides on the view of government and interpretation of these submission texts started to change in favor of the state at the time of Augustine.  He puts forth the notion that since we live in bodies and must live for now in this temporal world that we should be obedient in terms of the temporal. But when considering the soul, we must not submit to anything that would destroy our spiritual identity.</w:t>
      </w:r>
      <w:r w:rsidRPr="000D5CB8">
        <w:rPr>
          <w:rFonts w:asciiTheme="majorHAnsi" w:eastAsia="Times New Roman" w:hAnsiTheme="majorHAnsi" w:cstheme="majorHAnsi"/>
          <w:vertAlign w:val="superscript"/>
        </w:rPr>
        <w:footnoteReference w:id="19"/>
      </w:r>
      <w:r w:rsidRPr="000D5CB8">
        <w:rPr>
          <w:rFonts w:asciiTheme="majorHAnsi" w:eastAsia="Times New Roman" w:hAnsiTheme="majorHAnsi" w:cstheme="majorHAnsi"/>
        </w:rPr>
        <w:t xml:space="preserve"> Later in the </w:t>
      </w:r>
      <w:r w:rsidRPr="000D5CB8">
        <w:rPr>
          <w:rFonts w:asciiTheme="majorHAnsi" w:eastAsia="Times New Roman" w:hAnsiTheme="majorHAnsi" w:cstheme="majorHAnsi"/>
          <w:i/>
        </w:rPr>
        <w:t xml:space="preserve">City of God, </w:t>
      </w:r>
      <w:r w:rsidRPr="000D5CB8">
        <w:rPr>
          <w:rFonts w:asciiTheme="majorHAnsi" w:eastAsia="Times New Roman" w:hAnsiTheme="majorHAnsi" w:cstheme="majorHAnsi"/>
        </w:rPr>
        <w:t xml:space="preserve">he talks about two cities: the city of the world and the city of God. He encourages Christians to be godly in both cities but not to forget their true home- heaven. </w:t>
      </w:r>
    </w:p>
    <w:p w14:paraId="5560C9CC" w14:textId="77777777" w:rsidR="005E23AC" w:rsidRPr="000D5CB8" w:rsidRDefault="005E23AC" w:rsidP="000D5CB8">
      <w:pPr>
        <w:rPr>
          <w:rFonts w:asciiTheme="majorHAnsi" w:eastAsia="Times New Roman" w:hAnsiTheme="majorHAnsi" w:cstheme="majorHAnsi"/>
          <w:i/>
        </w:rPr>
      </w:pPr>
    </w:p>
    <w:p w14:paraId="7D2A743E" w14:textId="77777777" w:rsidR="005E23AC" w:rsidRPr="000D5CB8" w:rsidRDefault="006A3099" w:rsidP="000D5CB8">
      <w:pPr>
        <w:rPr>
          <w:rFonts w:asciiTheme="majorHAnsi" w:eastAsia="Times New Roman" w:hAnsiTheme="majorHAnsi" w:cstheme="majorHAnsi"/>
          <w:i/>
        </w:rPr>
      </w:pPr>
      <w:r w:rsidRPr="000D5CB8">
        <w:rPr>
          <w:rFonts w:asciiTheme="majorHAnsi" w:eastAsia="Times New Roman" w:hAnsiTheme="majorHAnsi" w:cstheme="majorHAnsi"/>
          <w:i/>
        </w:rPr>
        <w:t>The Constantinian Shift</w:t>
      </w:r>
    </w:p>
    <w:p w14:paraId="60BA6642" w14:textId="77777777" w:rsidR="005E23AC" w:rsidRPr="000D5CB8" w:rsidRDefault="005E23AC" w:rsidP="000D5CB8">
      <w:pPr>
        <w:rPr>
          <w:rFonts w:asciiTheme="majorHAnsi" w:eastAsia="Times New Roman" w:hAnsiTheme="majorHAnsi" w:cstheme="majorHAnsi"/>
          <w:i/>
        </w:rPr>
      </w:pPr>
    </w:p>
    <w:p w14:paraId="69F1D601" w14:textId="77777777" w:rsidR="005E23AC" w:rsidRPr="000D5CB8" w:rsidRDefault="005E23AC" w:rsidP="000D5CB8">
      <w:pPr>
        <w:rPr>
          <w:rFonts w:asciiTheme="majorHAnsi" w:eastAsia="Times New Roman" w:hAnsiTheme="majorHAnsi" w:cstheme="majorHAnsi"/>
          <w:i/>
        </w:rPr>
      </w:pPr>
    </w:p>
    <w:p w14:paraId="7DABD102"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During the era of Constantine’s empire (306-337 AD) there was a shift in power when it came to the church’s relationship to the empire of Rome. This shift has been put forward as either a positive conversion of the governing powers for the good or a great entanglement of the church and state which has led to a co-opting of the mission of the church. Theologians such as John Howard Yoder call this the “Constantinian shift” and claim that this has led to the misinterpretation of the submission texts by the merging of the church with political power.</w:t>
      </w:r>
      <w:r w:rsidRPr="000D5CB8">
        <w:rPr>
          <w:rFonts w:asciiTheme="majorHAnsi" w:eastAsia="Times New Roman" w:hAnsiTheme="majorHAnsi" w:cstheme="majorHAnsi"/>
          <w:vertAlign w:val="superscript"/>
        </w:rPr>
        <w:footnoteReference w:id="20"/>
      </w:r>
    </w:p>
    <w:p w14:paraId="437E221A"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Constantine the Great allegedly adopted Christianity upon his victory at the Moravian bridge on October 27, 312, where he met the forces of Maxentius. On the afternoon before the battle Eusebius reports that Constantine saw a flaming cross in the sky with the Greek words “</w:t>
      </w:r>
      <w:proofErr w:type="spellStart"/>
      <w:r w:rsidRPr="000D5CB8">
        <w:rPr>
          <w:rFonts w:asciiTheme="majorHAnsi" w:eastAsia="Times New Roman" w:hAnsiTheme="majorHAnsi" w:cstheme="majorHAnsi"/>
          <w:i/>
        </w:rPr>
        <w:t>en</w:t>
      </w:r>
      <w:proofErr w:type="spellEnd"/>
      <w:r w:rsidRPr="000D5CB8">
        <w:rPr>
          <w:rFonts w:asciiTheme="majorHAnsi" w:eastAsia="Times New Roman" w:hAnsiTheme="majorHAnsi" w:cstheme="majorHAnsi"/>
          <w:i/>
        </w:rPr>
        <w:t xml:space="preserve"> </w:t>
      </w:r>
      <w:proofErr w:type="spellStart"/>
      <w:r w:rsidRPr="000D5CB8">
        <w:rPr>
          <w:rFonts w:asciiTheme="majorHAnsi" w:eastAsia="Times New Roman" w:hAnsiTheme="majorHAnsi" w:cstheme="majorHAnsi"/>
          <w:i/>
        </w:rPr>
        <w:t>toutoi</w:t>
      </w:r>
      <w:proofErr w:type="spellEnd"/>
      <w:r w:rsidRPr="000D5CB8">
        <w:rPr>
          <w:rFonts w:asciiTheme="majorHAnsi" w:eastAsia="Times New Roman" w:hAnsiTheme="majorHAnsi" w:cstheme="majorHAnsi"/>
          <w:i/>
        </w:rPr>
        <w:t xml:space="preserve"> </w:t>
      </w:r>
      <w:proofErr w:type="spellStart"/>
      <w:r w:rsidRPr="000D5CB8">
        <w:rPr>
          <w:rFonts w:asciiTheme="majorHAnsi" w:eastAsia="Times New Roman" w:hAnsiTheme="majorHAnsi" w:cstheme="majorHAnsi"/>
          <w:i/>
        </w:rPr>
        <w:t>nika</w:t>
      </w:r>
      <w:proofErr w:type="spellEnd"/>
      <w:r w:rsidRPr="000D5CB8">
        <w:rPr>
          <w:rFonts w:asciiTheme="majorHAnsi" w:eastAsia="Times New Roman" w:hAnsiTheme="majorHAnsi" w:cstheme="majorHAnsi"/>
        </w:rPr>
        <w:t>” (In this sign, conquer).</w:t>
      </w:r>
      <w:r w:rsidRPr="000D5CB8">
        <w:rPr>
          <w:rFonts w:asciiTheme="majorHAnsi" w:eastAsia="Times New Roman" w:hAnsiTheme="majorHAnsi" w:cstheme="majorHAnsi"/>
          <w:vertAlign w:val="superscript"/>
        </w:rPr>
        <w:footnoteReference w:id="21"/>
      </w:r>
      <w:r w:rsidRPr="000D5CB8">
        <w:rPr>
          <w:rFonts w:asciiTheme="majorHAnsi" w:eastAsia="Times New Roman" w:hAnsiTheme="majorHAnsi" w:cstheme="majorHAnsi"/>
        </w:rPr>
        <w:t xml:space="preserve"> According to Eusebius and </w:t>
      </w:r>
      <w:proofErr w:type="spellStart"/>
      <w:r w:rsidRPr="000D5CB8">
        <w:rPr>
          <w:rFonts w:asciiTheme="majorHAnsi" w:eastAsia="Times New Roman" w:hAnsiTheme="majorHAnsi" w:cstheme="majorHAnsi"/>
        </w:rPr>
        <w:t>Lactantius</w:t>
      </w:r>
      <w:proofErr w:type="spellEnd"/>
      <w:r w:rsidRPr="000D5CB8">
        <w:rPr>
          <w:rFonts w:asciiTheme="majorHAnsi" w:eastAsia="Times New Roman" w:hAnsiTheme="majorHAnsi" w:cstheme="majorHAnsi"/>
        </w:rPr>
        <w:t>, Constantine commanded his soldiers to have the sign of the cross, an X with a line drawn through it and curled around the top- “the symbol of Christ.”</w:t>
      </w:r>
      <w:r w:rsidRPr="000D5CB8">
        <w:rPr>
          <w:rFonts w:asciiTheme="majorHAnsi" w:eastAsia="Times New Roman" w:hAnsiTheme="majorHAnsi" w:cstheme="majorHAnsi"/>
          <w:vertAlign w:val="superscript"/>
        </w:rPr>
        <w:footnoteReference w:id="22"/>
      </w:r>
      <w:r w:rsidRPr="000D5CB8">
        <w:rPr>
          <w:rFonts w:asciiTheme="majorHAnsi" w:eastAsia="Times New Roman" w:hAnsiTheme="majorHAnsi" w:cstheme="majorHAnsi"/>
        </w:rPr>
        <w:t xml:space="preserve"> Yet, according to </w:t>
      </w:r>
      <w:proofErr w:type="spellStart"/>
      <w:r w:rsidRPr="000D5CB8">
        <w:rPr>
          <w:rFonts w:asciiTheme="majorHAnsi" w:eastAsia="Times New Roman" w:hAnsiTheme="majorHAnsi" w:cstheme="majorHAnsi"/>
        </w:rPr>
        <w:t>Lactantius</w:t>
      </w:r>
      <w:proofErr w:type="spellEnd"/>
      <w:r w:rsidRPr="000D5CB8">
        <w:rPr>
          <w:rFonts w:asciiTheme="majorHAnsi" w:eastAsia="Times New Roman" w:hAnsiTheme="majorHAnsi" w:cstheme="majorHAnsi"/>
        </w:rPr>
        <w:t xml:space="preserve">, the vast number of Mithra worshippers in Constantine’s army took no offense at this for they had long fought </w:t>
      </w:r>
      <w:r w:rsidRPr="000D5CB8">
        <w:rPr>
          <w:rFonts w:asciiTheme="majorHAnsi" w:eastAsia="Times New Roman" w:hAnsiTheme="majorHAnsi" w:cstheme="majorHAnsi"/>
        </w:rPr>
        <w:lastRenderedPageBreak/>
        <w:t>under Mithra’s cross of light.</w:t>
      </w:r>
      <w:r w:rsidRPr="000D5CB8">
        <w:rPr>
          <w:rFonts w:asciiTheme="majorHAnsi" w:eastAsia="Times New Roman" w:hAnsiTheme="majorHAnsi" w:cstheme="majorHAnsi"/>
          <w:vertAlign w:val="superscript"/>
        </w:rPr>
        <w:footnoteReference w:id="23"/>
      </w:r>
      <w:r w:rsidRPr="000D5CB8">
        <w:rPr>
          <w:rFonts w:asciiTheme="majorHAnsi" w:eastAsia="Times New Roman" w:hAnsiTheme="majorHAnsi" w:cstheme="majorHAnsi"/>
        </w:rPr>
        <w:t xml:space="preserve"> This became a theme in Constantine’s rule- mixing Christianity with paganism. Constantine won the battle and issued the Edict of Milan which confirmed religious toleration throughout the empire.</w:t>
      </w:r>
      <w:r w:rsidRPr="000D5CB8">
        <w:rPr>
          <w:rFonts w:asciiTheme="majorHAnsi" w:eastAsia="Times New Roman" w:hAnsiTheme="majorHAnsi" w:cstheme="majorHAnsi"/>
          <w:vertAlign w:val="superscript"/>
        </w:rPr>
        <w:footnoteReference w:id="24"/>
      </w:r>
      <w:r w:rsidRPr="000D5CB8">
        <w:rPr>
          <w:rFonts w:asciiTheme="majorHAnsi" w:eastAsia="Times New Roman" w:hAnsiTheme="majorHAnsi" w:cstheme="majorHAnsi"/>
        </w:rPr>
        <w:t xml:space="preserve"> </w:t>
      </w:r>
    </w:p>
    <w:p w14:paraId="58EF1A55"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It is questionable whether Constantine’s conversion was sincere. Did he side with Christianity only for political purposes? Constantine’s mother was a Christian and his father was a pagan. Following his conversion, he seldom conformed to Christian ceremonial worship requirements and kept a Gallic court of pagan philosophers and scholars to help him guide his empire. Even in his letters to Christian Bishops he was clear that he cared little about their theology or the differences that were agitating Christendom at the time.</w:t>
      </w:r>
      <w:r w:rsidRPr="000D5CB8">
        <w:rPr>
          <w:rFonts w:asciiTheme="majorHAnsi" w:eastAsia="Times New Roman" w:hAnsiTheme="majorHAnsi" w:cstheme="majorHAnsi"/>
          <w:vertAlign w:val="superscript"/>
        </w:rPr>
        <w:footnoteReference w:id="25"/>
      </w:r>
      <w:r w:rsidRPr="000D5CB8">
        <w:rPr>
          <w:rFonts w:asciiTheme="majorHAnsi" w:eastAsia="Times New Roman" w:hAnsiTheme="majorHAnsi" w:cstheme="majorHAnsi"/>
        </w:rPr>
        <w:t xml:space="preserve"> Rather he saw the </w:t>
      </w:r>
      <w:proofErr w:type="gramStart"/>
      <w:r w:rsidRPr="000D5CB8">
        <w:rPr>
          <w:rFonts w:asciiTheme="majorHAnsi" w:eastAsia="Times New Roman" w:hAnsiTheme="majorHAnsi" w:cstheme="majorHAnsi"/>
        </w:rPr>
        <w:t>Bishops</w:t>
      </w:r>
      <w:proofErr w:type="gramEnd"/>
      <w:r w:rsidRPr="000D5CB8">
        <w:rPr>
          <w:rFonts w:asciiTheme="majorHAnsi" w:eastAsia="Times New Roman" w:hAnsiTheme="majorHAnsi" w:cstheme="majorHAnsi"/>
        </w:rPr>
        <w:t xml:space="preserve"> as political aids, which he would summon to help him enforce majority agreement within their churches. There is an argument that a real Christian would have put Christ first and not the state, but it was the reverse for Constantine.</w:t>
      </w:r>
      <w:r w:rsidRPr="000D5CB8">
        <w:rPr>
          <w:rFonts w:asciiTheme="majorHAnsi" w:eastAsia="Times New Roman" w:hAnsiTheme="majorHAnsi" w:cstheme="majorHAnsi"/>
          <w:vertAlign w:val="superscript"/>
        </w:rPr>
        <w:footnoteReference w:id="26"/>
      </w:r>
      <w:r w:rsidRPr="000D5CB8">
        <w:rPr>
          <w:rFonts w:asciiTheme="majorHAnsi" w:eastAsia="Times New Roman" w:hAnsiTheme="majorHAnsi" w:cstheme="majorHAnsi"/>
        </w:rPr>
        <w:t xml:space="preserve"> </w:t>
      </w:r>
    </w:p>
    <w:p w14:paraId="67D21561"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Constantine had seen in his lifetime three failed persecutions of the Christians for not pledging allegiance to the Roman state and so it seems that no matter what the state had done in the past they could not rid themselves of the Christians or get them to renounce their king.</w:t>
      </w:r>
      <w:r w:rsidRPr="000D5CB8">
        <w:rPr>
          <w:rFonts w:asciiTheme="majorHAnsi" w:eastAsia="Times New Roman" w:hAnsiTheme="majorHAnsi" w:cstheme="majorHAnsi"/>
          <w:vertAlign w:val="superscript"/>
        </w:rPr>
        <w:footnoteReference w:id="27"/>
      </w:r>
      <w:r w:rsidRPr="000D5CB8">
        <w:rPr>
          <w:rFonts w:asciiTheme="majorHAnsi" w:eastAsia="Times New Roman" w:hAnsiTheme="majorHAnsi" w:cstheme="majorHAnsi"/>
        </w:rPr>
        <w:t xml:space="preserve"> Durant believes that, instead of launching another persecution, it seems that the blending of church and state was the plan to achieve Constantine’s goal of complete monarchy and a unified rule under him in the Roman empire.</w:t>
      </w:r>
      <w:r w:rsidRPr="000D5CB8">
        <w:rPr>
          <w:rFonts w:asciiTheme="majorHAnsi" w:eastAsia="Times New Roman" w:hAnsiTheme="majorHAnsi" w:cstheme="majorHAnsi"/>
          <w:vertAlign w:val="superscript"/>
        </w:rPr>
        <w:footnoteReference w:id="28"/>
      </w:r>
      <w:r w:rsidRPr="000D5CB8">
        <w:rPr>
          <w:rFonts w:asciiTheme="majorHAnsi" w:eastAsia="Times New Roman" w:hAnsiTheme="majorHAnsi" w:cstheme="majorHAnsi"/>
        </w:rPr>
        <w:t xml:space="preserve"> As Constantine’s power grew he became more open about the fact that he favored Christianity. He gave Christian Bishops benefits such as judicial and political authority, tax exemption, and more. In return the church gave its support and allegiance to the empire.</w:t>
      </w:r>
      <w:r w:rsidRPr="000D5CB8">
        <w:rPr>
          <w:rFonts w:asciiTheme="majorHAnsi" w:eastAsia="Times New Roman" w:hAnsiTheme="majorHAnsi" w:cstheme="majorHAnsi"/>
          <w:vertAlign w:val="superscript"/>
        </w:rPr>
        <w:footnoteReference w:id="29"/>
      </w:r>
      <w:r w:rsidRPr="000D5CB8">
        <w:rPr>
          <w:rFonts w:asciiTheme="majorHAnsi" w:eastAsia="Times New Roman" w:hAnsiTheme="majorHAnsi" w:cstheme="majorHAnsi"/>
        </w:rPr>
        <w:t xml:space="preserve"> The benefits and power that he was now offering to Christians seemed to have accomplished what persecution could not do.  </w:t>
      </w:r>
    </w:p>
    <w:p w14:paraId="018B16AA"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Constantine is often blamed for the blending of pagan and Christian festivals and calendars, and this seems to be motivated out of uniformity in his empire.</w:t>
      </w:r>
      <w:r w:rsidRPr="000D5CB8">
        <w:rPr>
          <w:rFonts w:asciiTheme="majorHAnsi" w:eastAsia="Times New Roman" w:hAnsiTheme="majorHAnsi" w:cstheme="majorHAnsi"/>
          <w:vertAlign w:val="superscript"/>
        </w:rPr>
        <w:footnoteReference w:id="30"/>
      </w:r>
      <w:r w:rsidRPr="000D5CB8">
        <w:rPr>
          <w:rFonts w:asciiTheme="majorHAnsi" w:eastAsia="Times New Roman" w:hAnsiTheme="majorHAnsi" w:cstheme="majorHAnsi"/>
        </w:rPr>
        <w:t xml:space="preserve"> Some evidence for this is that when he dedicated Constantinople in 330 AD he used both Christian and pagan rites as well as using pagan magic formulas for crop protection.</w:t>
      </w:r>
      <w:r w:rsidRPr="000D5CB8">
        <w:rPr>
          <w:rFonts w:asciiTheme="majorHAnsi" w:eastAsia="Times New Roman" w:hAnsiTheme="majorHAnsi" w:cstheme="majorHAnsi"/>
          <w:vertAlign w:val="superscript"/>
        </w:rPr>
        <w:footnoteReference w:id="31"/>
      </w:r>
      <w:r w:rsidRPr="000D5CB8">
        <w:rPr>
          <w:rFonts w:asciiTheme="majorHAnsi" w:eastAsia="Times New Roman" w:hAnsiTheme="majorHAnsi" w:cstheme="majorHAnsi"/>
        </w:rPr>
        <w:t xml:space="preserve"> Constantine seemed to know that one could not be an Emperor and a Christian as he refused to be baptized until he was on his deathbed. </w:t>
      </w:r>
    </w:p>
    <w:p w14:paraId="4FF124DD" w14:textId="77777777" w:rsidR="005E23AC" w:rsidRPr="000D5CB8" w:rsidRDefault="006A3099" w:rsidP="000D5CB8">
      <w:pPr>
        <w:ind w:firstLine="720"/>
        <w:rPr>
          <w:rFonts w:asciiTheme="majorHAnsi" w:eastAsia="Times New Roman" w:hAnsiTheme="majorHAnsi" w:cstheme="majorHAnsi"/>
        </w:rPr>
      </w:pPr>
      <w:proofErr w:type="spellStart"/>
      <w:r w:rsidRPr="000D5CB8">
        <w:rPr>
          <w:rFonts w:asciiTheme="majorHAnsi" w:eastAsia="Times New Roman" w:hAnsiTheme="majorHAnsi" w:cstheme="majorHAnsi"/>
        </w:rPr>
        <w:t>Leithart</w:t>
      </w:r>
      <w:proofErr w:type="spellEnd"/>
      <w:r w:rsidRPr="000D5CB8">
        <w:rPr>
          <w:rFonts w:asciiTheme="majorHAnsi" w:eastAsia="Times New Roman" w:hAnsiTheme="majorHAnsi" w:cstheme="majorHAnsi"/>
        </w:rPr>
        <w:t xml:space="preserve"> and Yoder disagree on the interpretation of the historical life of Constantine.</w:t>
      </w:r>
      <w:r w:rsidRPr="000D5CB8">
        <w:rPr>
          <w:rFonts w:asciiTheme="majorHAnsi" w:eastAsia="Times New Roman" w:hAnsiTheme="majorHAnsi" w:cstheme="majorHAnsi"/>
          <w:vertAlign w:val="superscript"/>
        </w:rPr>
        <w:footnoteReference w:id="32"/>
      </w:r>
      <w:r w:rsidRPr="000D5CB8">
        <w:rPr>
          <w:rFonts w:asciiTheme="majorHAnsi" w:eastAsia="Times New Roman" w:hAnsiTheme="majorHAnsi" w:cstheme="majorHAnsi"/>
        </w:rPr>
        <w:t xml:space="preserve"> </w:t>
      </w:r>
      <w:proofErr w:type="spellStart"/>
      <w:r w:rsidRPr="000D5CB8">
        <w:rPr>
          <w:rFonts w:asciiTheme="majorHAnsi" w:eastAsia="Times New Roman" w:hAnsiTheme="majorHAnsi" w:cstheme="majorHAnsi"/>
        </w:rPr>
        <w:t>Leithart</w:t>
      </w:r>
      <w:proofErr w:type="spellEnd"/>
      <w:r w:rsidRPr="000D5CB8">
        <w:rPr>
          <w:rFonts w:asciiTheme="majorHAnsi" w:eastAsia="Times New Roman" w:hAnsiTheme="majorHAnsi" w:cstheme="majorHAnsi"/>
        </w:rPr>
        <w:t xml:space="preserve"> disagrees with Yoder historically but does concede his theology, </w:t>
      </w:r>
    </w:p>
    <w:p w14:paraId="71201976" w14:textId="77777777" w:rsidR="005E23AC" w:rsidRPr="000D5CB8" w:rsidRDefault="006A3099" w:rsidP="000D5CB8">
      <w:pPr>
        <w:ind w:left="720" w:right="720"/>
        <w:jc w:val="both"/>
        <w:rPr>
          <w:rFonts w:asciiTheme="majorHAnsi" w:eastAsia="Times New Roman" w:hAnsiTheme="majorHAnsi" w:cstheme="majorHAnsi"/>
          <w:color w:val="000000"/>
        </w:rPr>
      </w:pPr>
      <w:r w:rsidRPr="000D5CB8">
        <w:rPr>
          <w:rFonts w:asciiTheme="majorHAnsi" w:eastAsia="Times New Roman" w:hAnsiTheme="majorHAnsi" w:cstheme="majorHAnsi"/>
          <w:color w:val="000000"/>
        </w:rPr>
        <w:t xml:space="preserve">“It may seem that Yoder has finally won the day. Perhaps he lost the historical argument but wins the theological one. If Jesus and the Sermon on the Mount are central to Christian political theology, does that not mean Yoder is correct that the only Christian [Christlike] politics is the </w:t>
      </w:r>
      <w:r w:rsidRPr="000D5CB8">
        <w:rPr>
          <w:rFonts w:asciiTheme="majorHAnsi" w:eastAsia="Times New Roman" w:hAnsiTheme="majorHAnsi" w:cstheme="majorHAnsi"/>
          <w:color w:val="000000"/>
        </w:rPr>
        <w:lastRenderedPageBreak/>
        <w:t>politics of the church?…Does that not mean Constantine did in fact betray Jesus when he welcomed the church and set down his sacrificial knife but refused to sheath his sword?”</w:t>
      </w:r>
      <w:r w:rsidRPr="000D5CB8">
        <w:rPr>
          <w:rFonts w:asciiTheme="majorHAnsi" w:eastAsia="Times New Roman" w:hAnsiTheme="majorHAnsi" w:cstheme="majorHAnsi"/>
          <w:color w:val="000000"/>
          <w:vertAlign w:val="superscript"/>
        </w:rPr>
        <w:footnoteReference w:id="33"/>
      </w:r>
    </w:p>
    <w:p w14:paraId="777DADBD" w14:textId="77777777" w:rsidR="005E23AC" w:rsidRPr="000D5CB8" w:rsidRDefault="005E23AC" w:rsidP="000D5CB8">
      <w:pPr>
        <w:ind w:right="720"/>
        <w:jc w:val="both"/>
        <w:rPr>
          <w:rFonts w:asciiTheme="majorHAnsi" w:eastAsia="Times New Roman" w:hAnsiTheme="majorHAnsi" w:cstheme="majorHAnsi"/>
          <w:color w:val="000000"/>
        </w:rPr>
      </w:pPr>
    </w:p>
    <w:p w14:paraId="2B7F1ED4"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color w:val="000000"/>
        </w:rPr>
        <w:t xml:space="preserve">Hauerwas notes that before Constantine it took incredible conviction to be a Christian and after Constantine it took incredible conviction not to be a “Christian” due to its political implications with the state of Rome. Baptism as the entrance into the church took on new ideas with Christianity as the national religion of the empire following Constantine. Hauerwas and Yoder both conclude that as a result of </w:t>
      </w:r>
      <w:proofErr w:type="spellStart"/>
      <w:r w:rsidRPr="000D5CB8">
        <w:rPr>
          <w:rFonts w:asciiTheme="majorHAnsi" w:eastAsia="Times New Roman" w:hAnsiTheme="majorHAnsi" w:cstheme="majorHAnsi"/>
          <w:color w:val="000000"/>
        </w:rPr>
        <w:t>Constantinianism</w:t>
      </w:r>
      <w:proofErr w:type="spellEnd"/>
      <w:r w:rsidRPr="000D5CB8">
        <w:rPr>
          <w:rFonts w:asciiTheme="majorHAnsi" w:eastAsia="Times New Roman" w:hAnsiTheme="majorHAnsi" w:cstheme="majorHAnsi"/>
          <w:color w:val="000000"/>
        </w:rPr>
        <w:t>, being a Christian no longer was based on the identity of being part of the church (or membership) but it moved to something “inward” (simply spiritual) rather that outward, since Christians in the church had become entangled with the state and their support of it.</w:t>
      </w:r>
      <w:r w:rsidRPr="000D5CB8">
        <w:rPr>
          <w:rFonts w:asciiTheme="majorHAnsi" w:eastAsia="Times New Roman" w:hAnsiTheme="majorHAnsi" w:cstheme="majorHAnsi"/>
          <w:color w:val="000000"/>
          <w:vertAlign w:val="superscript"/>
        </w:rPr>
        <w:footnoteReference w:id="34"/>
      </w:r>
      <w:r w:rsidRPr="000D5CB8">
        <w:rPr>
          <w:rFonts w:asciiTheme="majorHAnsi" w:eastAsia="Times New Roman" w:hAnsiTheme="majorHAnsi" w:cstheme="majorHAnsi"/>
          <w:color w:val="000000"/>
        </w:rPr>
        <w:t xml:space="preserve"> Both attribute the foundations of civil religion and Christian nationalism in America and other nations throughout Church history to </w:t>
      </w:r>
      <w:proofErr w:type="spellStart"/>
      <w:r w:rsidRPr="000D5CB8">
        <w:rPr>
          <w:rFonts w:asciiTheme="majorHAnsi" w:eastAsia="Times New Roman" w:hAnsiTheme="majorHAnsi" w:cstheme="majorHAnsi"/>
          <w:color w:val="000000"/>
        </w:rPr>
        <w:t>Constantinianism</w:t>
      </w:r>
      <w:proofErr w:type="spellEnd"/>
      <w:r w:rsidRPr="000D5CB8">
        <w:rPr>
          <w:rFonts w:asciiTheme="majorHAnsi" w:eastAsia="Times New Roman" w:hAnsiTheme="majorHAnsi" w:cstheme="majorHAnsi"/>
          <w:color w:val="000000"/>
        </w:rPr>
        <w:t xml:space="preserve">.   </w:t>
      </w:r>
    </w:p>
    <w:p w14:paraId="46CE6589" w14:textId="77777777" w:rsidR="005E23AC" w:rsidRPr="000D5CB8" w:rsidRDefault="006A3099" w:rsidP="000D5CB8">
      <w:pPr>
        <w:spacing w:after="240"/>
        <w:ind w:left="720" w:right="720"/>
        <w:jc w:val="both"/>
        <w:rPr>
          <w:rFonts w:asciiTheme="majorHAnsi" w:eastAsia="Times New Roman" w:hAnsiTheme="majorHAnsi" w:cstheme="majorHAnsi"/>
          <w:color w:val="000000"/>
        </w:rPr>
      </w:pPr>
      <w:r w:rsidRPr="000D5CB8">
        <w:rPr>
          <w:rFonts w:asciiTheme="majorHAnsi" w:eastAsia="Times New Roman" w:hAnsiTheme="majorHAnsi" w:cstheme="majorHAnsi"/>
          <w:color w:val="000000"/>
        </w:rPr>
        <w:t>Perhaps the most recurring theme in Yoder’s theology is his depiction and critique of ‘</w:t>
      </w:r>
      <w:proofErr w:type="spellStart"/>
      <w:r w:rsidRPr="000D5CB8">
        <w:rPr>
          <w:rFonts w:asciiTheme="majorHAnsi" w:eastAsia="Times New Roman" w:hAnsiTheme="majorHAnsi" w:cstheme="majorHAnsi"/>
          <w:color w:val="000000"/>
        </w:rPr>
        <w:t>Constantinianism</w:t>
      </w:r>
      <w:proofErr w:type="spellEnd"/>
      <w:r w:rsidRPr="000D5CB8">
        <w:rPr>
          <w:rFonts w:asciiTheme="majorHAnsi" w:eastAsia="Times New Roman" w:hAnsiTheme="majorHAnsi" w:cstheme="majorHAnsi"/>
          <w:color w:val="000000"/>
        </w:rPr>
        <w:t xml:space="preserve">.’ In short, Yoder argues that the history of Christianity must be read </w:t>
      </w:r>
      <w:proofErr w:type="gramStart"/>
      <w:r w:rsidRPr="000D5CB8">
        <w:rPr>
          <w:rFonts w:asciiTheme="majorHAnsi" w:eastAsia="Times New Roman" w:hAnsiTheme="majorHAnsi" w:cstheme="majorHAnsi"/>
          <w:color w:val="000000"/>
        </w:rPr>
        <w:t>in light of</w:t>
      </w:r>
      <w:proofErr w:type="gramEnd"/>
      <w:r w:rsidRPr="000D5CB8">
        <w:rPr>
          <w:rFonts w:asciiTheme="majorHAnsi" w:eastAsia="Times New Roman" w:hAnsiTheme="majorHAnsi" w:cstheme="majorHAnsi"/>
          <w:color w:val="000000"/>
        </w:rPr>
        <w:t xml:space="preserve"> a deep and lasting, though often subtle, shift that took place with respect to the relationship between church and world, and which he claims is best associated with the reign of Constantine.</w:t>
      </w:r>
    </w:p>
    <w:p w14:paraId="771A0D49" w14:textId="77777777" w:rsidR="005E23AC" w:rsidRPr="000D5CB8" w:rsidRDefault="006A3099" w:rsidP="000D5CB8">
      <w:pPr>
        <w:spacing w:after="240"/>
        <w:ind w:left="720" w:right="720"/>
        <w:jc w:val="both"/>
        <w:rPr>
          <w:rFonts w:asciiTheme="majorHAnsi" w:eastAsia="Times New Roman" w:hAnsiTheme="majorHAnsi" w:cstheme="majorHAnsi"/>
          <w:color w:val="000000"/>
        </w:rPr>
      </w:pPr>
      <w:r w:rsidRPr="000D5CB8">
        <w:rPr>
          <w:rFonts w:asciiTheme="majorHAnsi" w:eastAsia="Times New Roman" w:hAnsiTheme="majorHAnsi" w:cstheme="majorHAnsi"/>
          <w:color w:val="000000"/>
        </w:rPr>
        <w:t xml:space="preserve">Whereas pre-Constantinian Christianity was that of a minority church existing in a world that was largely hostile toward it, Yoder claims that the Constantinian shift resulted in an alignment of the church with the ruling political regime of the day. As Yoder himself describes it, the structure of </w:t>
      </w:r>
      <w:proofErr w:type="spellStart"/>
      <w:r w:rsidRPr="000D5CB8">
        <w:rPr>
          <w:rFonts w:asciiTheme="majorHAnsi" w:eastAsia="Times New Roman" w:hAnsiTheme="majorHAnsi" w:cstheme="majorHAnsi"/>
          <w:color w:val="000000"/>
        </w:rPr>
        <w:t>Constantinianism</w:t>
      </w:r>
      <w:proofErr w:type="spellEnd"/>
      <w:r w:rsidRPr="000D5CB8">
        <w:rPr>
          <w:rFonts w:asciiTheme="majorHAnsi" w:eastAsia="Times New Roman" w:hAnsiTheme="majorHAnsi" w:cstheme="majorHAnsi"/>
          <w:color w:val="000000"/>
        </w:rPr>
        <w:t xml:space="preserve"> is rooted in the ‘basic axiom’ that ‘the true meaning of history, </w:t>
      </w:r>
      <w:r w:rsidRPr="000D5CB8">
        <w:rPr>
          <w:rFonts w:asciiTheme="majorHAnsi" w:eastAsia="Times New Roman" w:hAnsiTheme="majorHAnsi" w:cstheme="majorHAnsi"/>
          <w:i/>
          <w:color w:val="000000"/>
        </w:rPr>
        <w:t>the true locus of salvation, is in the cosmos and not in the church.</w:t>
      </w:r>
      <w:r w:rsidRPr="000D5CB8">
        <w:rPr>
          <w:rFonts w:asciiTheme="majorHAnsi" w:eastAsia="Times New Roman" w:hAnsiTheme="majorHAnsi" w:cstheme="majorHAnsi"/>
          <w:color w:val="000000"/>
        </w:rPr>
        <w:t xml:space="preserve"> </w:t>
      </w:r>
      <w:r w:rsidRPr="000D5CB8">
        <w:rPr>
          <w:rFonts w:asciiTheme="majorHAnsi" w:eastAsia="Times New Roman" w:hAnsiTheme="majorHAnsi" w:cstheme="majorHAnsi"/>
          <w:i/>
          <w:color w:val="000000"/>
        </w:rPr>
        <w:t>What God is really doing is being done primarily through the framework of society as a whole and not in the Christian community</w:t>
      </w:r>
      <w:r w:rsidRPr="000D5CB8">
        <w:rPr>
          <w:rFonts w:asciiTheme="majorHAnsi" w:eastAsia="Times New Roman" w:hAnsiTheme="majorHAnsi" w:cstheme="majorHAnsi"/>
          <w:color w:val="000000"/>
        </w:rPr>
        <w:t>.</w:t>
      </w:r>
      <w:r w:rsidRPr="000D5CB8">
        <w:rPr>
          <w:rFonts w:asciiTheme="majorHAnsi" w:eastAsia="Times New Roman" w:hAnsiTheme="majorHAnsi" w:cstheme="majorHAnsi"/>
          <w:color w:val="000000"/>
          <w:vertAlign w:val="superscript"/>
        </w:rPr>
        <w:footnoteReference w:id="35"/>
      </w:r>
    </w:p>
    <w:p w14:paraId="3D7CA587" w14:textId="77777777" w:rsidR="005E23AC" w:rsidRPr="000D5CB8" w:rsidRDefault="006A3099" w:rsidP="000D5CB8">
      <w:pPr>
        <w:spacing w:after="240"/>
        <w:rPr>
          <w:rFonts w:asciiTheme="majorHAnsi" w:eastAsia="Times New Roman" w:hAnsiTheme="majorHAnsi" w:cstheme="majorHAnsi"/>
          <w:color w:val="000000"/>
        </w:rPr>
      </w:pPr>
      <w:r w:rsidRPr="000D5CB8">
        <w:rPr>
          <w:rFonts w:asciiTheme="majorHAnsi" w:eastAsia="Times New Roman" w:hAnsiTheme="majorHAnsi" w:cstheme="majorHAnsi"/>
          <w:color w:val="000000"/>
        </w:rPr>
        <w:t xml:space="preserve">The Constantinian shift has informed and provided a foundation for the interpretation of the </w:t>
      </w:r>
      <w:r w:rsidRPr="000D5CB8">
        <w:rPr>
          <w:rFonts w:asciiTheme="majorHAnsi" w:eastAsia="Times New Roman" w:hAnsiTheme="majorHAnsi" w:cstheme="majorHAnsi"/>
          <w:i/>
          <w:color w:val="000000"/>
        </w:rPr>
        <w:t>submission</w:t>
      </w:r>
      <w:r w:rsidRPr="000D5CB8">
        <w:rPr>
          <w:rFonts w:asciiTheme="majorHAnsi" w:eastAsia="Times New Roman" w:hAnsiTheme="majorHAnsi" w:cstheme="majorHAnsi"/>
          <w:color w:val="000000"/>
        </w:rPr>
        <w:t xml:space="preserve"> passages that has led to </w:t>
      </w:r>
      <w:proofErr w:type="gramStart"/>
      <w:r w:rsidRPr="000D5CB8">
        <w:rPr>
          <w:rFonts w:asciiTheme="majorHAnsi" w:eastAsia="Times New Roman" w:hAnsiTheme="majorHAnsi" w:cstheme="majorHAnsi"/>
          <w:color w:val="000000"/>
        </w:rPr>
        <w:t>support</w:t>
      </w:r>
      <w:proofErr w:type="gramEnd"/>
      <w:r w:rsidRPr="000D5CB8">
        <w:rPr>
          <w:rFonts w:asciiTheme="majorHAnsi" w:eastAsia="Times New Roman" w:hAnsiTheme="majorHAnsi" w:cstheme="majorHAnsi"/>
          <w:color w:val="000000"/>
        </w:rPr>
        <w:t xml:space="preserve"> the church’s involvement in the affairs of the state. This shift has helped build the worldview of the “God ordained </w:t>
      </w:r>
      <w:proofErr w:type="gramStart"/>
      <w:r w:rsidRPr="000D5CB8">
        <w:rPr>
          <w:rFonts w:asciiTheme="majorHAnsi" w:eastAsia="Times New Roman" w:hAnsiTheme="majorHAnsi" w:cstheme="majorHAnsi"/>
          <w:color w:val="000000"/>
        </w:rPr>
        <w:t>civil-state</w:t>
      </w:r>
      <w:proofErr w:type="gramEnd"/>
      <w:r w:rsidRPr="000D5CB8">
        <w:rPr>
          <w:rFonts w:asciiTheme="majorHAnsi" w:eastAsia="Times New Roman" w:hAnsiTheme="majorHAnsi" w:cstheme="majorHAnsi"/>
        </w:rPr>
        <w:t>,"</w:t>
      </w:r>
      <w:r w:rsidRPr="000D5CB8">
        <w:rPr>
          <w:rFonts w:asciiTheme="majorHAnsi" w:eastAsia="Times New Roman" w:hAnsiTheme="majorHAnsi" w:cstheme="majorHAnsi"/>
          <w:color w:val="000000"/>
        </w:rPr>
        <w:t xml:space="preserve"> and even the church’s positive participation in it and blended that into the interpretation of </w:t>
      </w:r>
      <w:r w:rsidRPr="000D5CB8">
        <w:rPr>
          <w:rFonts w:asciiTheme="majorHAnsi" w:eastAsia="Times New Roman" w:hAnsiTheme="majorHAnsi" w:cstheme="majorHAnsi"/>
        </w:rPr>
        <w:t>S</w:t>
      </w:r>
      <w:r w:rsidRPr="000D5CB8">
        <w:rPr>
          <w:rFonts w:asciiTheme="majorHAnsi" w:eastAsia="Times New Roman" w:hAnsiTheme="majorHAnsi" w:cstheme="majorHAnsi"/>
          <w:color w:val="000000"/>
        </w:rPr>
        <w:t xml:space="preserve">cripture. It has contributed to the position of the church and state as allies rather than opposing Kingdoms. </w:t>
      </w:r>
    </w:p>
    <w:p w14:paraId="71E6F731" w14:textId="77777777" w:rsidR="005E23AC" w:rsidRPr="000D5CB8" w:rsidRDefault="006A3099" w:rsidP="000D5CB8">
      <w:pPr>
        <w:rPr>
          <w:rFonts w:asciiTheme="majorHAnsi" w:eastAsia="Times New Roman" w:hAnsiTheme="majorHAnsi" w:cstheme="majorHAnsi"/>
          <w:i/>
        </w:rPr>
      </w:pPr>
      <w:r w:rsidRPr="000D5CB8">
        <w:rPr>
          <w:rFonts w:asciiTheme="majorHAnsi" w:eastAsia="Times New Roman" w:hAnsiTheme="majorHAnsi" w:cstheme="majorHAnsi"/>
          <w:i/>
        </w:rPr>
        <w:t xml:space="preserve">Medieval and Reformed Interpretations </w:t>
      </w:r>
    </w:p>
    <w:p w14:paraId="44A61A1F" w14:textId="77777777" w:rsidR="005E23AC" w:rsidRPr="000D5CB8" w:rsidRDefault="005E23AC" w:rsidP="000D5CB8">
      <w:pPr>
        <w:rPr>
          <w:rFonts w:asciiTheme="majorHAnsi" w:eastAsia="Times New Roman" w:hAnsiTheme="majorHAnsi" w:cstheme="majorHAnsi"/>
          <w:i/>
        </w:rPr>
      </w:pPr>
    </w:p>
    <w:p w14:paraId="3344F2E6" w14:textId="77777777" w:rsidR="005E23AC" w:rsidRPr="000D5CB8" w:rsidRDefault="005E23AC" w:rsidP="000D5CB8">
      <w:pPr>
        <w:rPr>
          <w:rFonts w:asciiTheme="majorHAnsi" w:eastAsia="Times New Roman" w:hAnsiTheme="majorHAnsi" w:cstheme="majorHAnsi"/>
          <w:i/>
        </w:rPr>
      </w:pPr>
    </w:p>
    <w:p w14:paraId="77274103"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During the medieval era (the 5</w:t>
      </w:r>
      <w:r w:rsidRPr="000D5CB8">
        <w:rPr>
          <w:rFonts w:asciiTheme="majorHAnsi" w:eastAsia="Times New Roman" w:hAnsiTheme="majorHAnsi" w:cstheme="majorHAnsi"/>
          <w:vertAlign w:val="superscript"/>
        </w:rPr>
        <w:t>th</w:t>
      </w:r>
      <w:r w:rsidRPr="000D5CB8">
        <w:rPr>
          <w:rFonts w:asciiTheme="majorHAnsi" w:eastAsia="Times New Roman" w:hAnsiTheme="majorHAnsi" w:cstheme="majorHAnsi"/>
        </w:rPr>
        <w:t>-15</w:t>
      </w:r>
      <w:r w:rsidRPr="000D5CB8">
        <w:rPr>
          <w:rFonts w:asciiTheme="majorHAnsi" w:eastAsia="Times New Roman" w:hAnsiTheme="majorHAnsi" w:cstheme="majorHAnsi"/>
          <w:vertAlign w:val="superscript"/>
        </w:rPr>
        <w:t>th</w:t>
      </w:r>
      <w:r w:rsidRPr="000D5CB8">
        <w:rPr>
          <w:rFonts w:asciiTheme="majorHAnsi" w:eastAsia="Times New Roman" w:hAnsiTheme="majorHAnsi" w:cstheme="majorHAnsi"/>
        </w:rPr>
        <w:t xml:space="preserve"> Centuries) the submission texts did not receive much attention until the Reformation and the political struggle that ensued because of the break from the Catholic Church.</w:t>
      </w:r>
      <w:r w:rsidRPr="000D5CB8">
        <w:rPr>
          <w:rFonts w:asciiTheme="majorHAnsi" w:eastAsia="Times New Roman" w:hAnsiTheme="majorHAnsi" w:cstheme="majorHAnsi"/>
          <w:vertAlign w:val="superscript"/>
        </w:rPr>
        <w:footnoteReference w:id="36"/>
      </w:r>
      <w:r w:rsidRPr="000D5CB8">
        <w:rPr>
          <w:rFonts w:asciiTheme="majorHAnsi" w:eastAsia="Times New Roman" w:hAnsiTheme="majorHAnsi" w:cstheme="majorHAnsi"/>
        </w:rPr>
        <w:t xml:space="preserve"> E.J.C </w:t>
      </w:r>
      <w:proofErr w:type="spellStart"/>
      <w:r w:rsidRPr="000D5CB8">
        <w:rPr>
          <w:rFonts w:asciiTheme="majorHAnsi" w:eastAsia="Times New Roman" w:hAnsiTheme="majorHAnsi" w:cstheme="majorHAnsi"/>
        </w:rPr>
        <w:t>Hearnshaw</w:t>
      </w:r>
      <w:proofErr w:type="spellEnd"/>
      <w:r w:rsidRPr="000D5CB8">
        <w:rPr>
          <w:rFonts w:asciiTheme="majorHAnsi" w:eastAsia="Times New Roman" w:hAnsiTheme="majorHAnsi" w:cstheme="majorHAnsi"/>
        </w:rPr>
        <w:t xml:space="preserve"> comments about the “Divine Right of Kings” derived from Romans 13 in the Middle Ages saying, </w:t>
      </w:r>
      <w:r w:rsidRPr="000D5CB8">
        <w:rPr>
          <w:rFonts w:asciiTheme="majorHAnsi" w:eastAsia="Times New Roman" w:hAnsiTheme="majorHAnsi" w:cstheme="majorHAnsi"/>
          <w:color w:val="000000"/>
        </w:rPr>
        <w:t>“divine right is in medieval theory compatible and coexistent with popular institutions. All power proceeds from God and is an emanation of His sovereignty</w:t>
      </w:r>
      <w:r w:rsidRPr="000D5CB8">
        <w:rPr>
          <w:rFonts w:asciiTheme="majorHAnsi" w:eastAsia="Times New Roman" w:hAnsiTheme="majorHAnsi" w:cstheme="majorHAnsi"/>
        </w:rPr>
        <w:t>.”</w:t>
      </w:r>
      <w:r w:rsidRPr="000D5CB8">
        <w:rPr>
          <w:rFonts w:asciiTheme="majorHAnsi" w:eastAsia="Times New Roman" w:hAnsiTheme="majorHAnsi" w:cstheme="majorHAnsi"/>
          <w:color w:val="000000"/>
          <w:vertAlign w:val="superscript"/>
        </w:rPr>
        <w:footnoteReference w:id="37"/>
      </w:r>
      <w:r w:rsidRPr="000D5CB8">
        <w:rPr>
          <w:rFonts w:asciiTheme="majorHAnsi" w:eastAsia="Times New Roman" w:hAnsiTheme="majorHAnsi" w:cstheme="majorHAnsi"/>
        </w:rPr>
        <w:t xml:space="preserve"> This was the major idea that flowed from the rule of the Pope within the Church and his dominance over the king and the feudal lords- Christendom. </w:t>
      </w:r>
      <w:proofErr w:type="gramStart"/>
      <w:r w:rsidRPr="000D5CB8">
        <w:rPr>
          <w:rFonts w:asciiTheme="majorHAnsi" w:eastAsia="Times New Roman" w:hAnsiTheme="majorHAnsi" w:cstheme="majorHAnsi"/>
        </w:rPr>
        <w:t>Essentially</w:t>
      </w:r>
      <w:proofErr w:type="gramEnd"/>
      <w:r w:rsidRPr="000D5CB8">
        <w:rPr>
          <w:rFonts w:asciiTheme="majorHAnsi" w:eastAsia="Times New Roman" w:hAnsiTheme="majorHAnsi" w:cstheme="majorHAnsi"/>
        </w:rPr>
        <w:t xml:space="preserve"> the Medieval </w:t>
      </w:r>
      <w:proofErr w:type="gramStart"/>
      <w:r w:rsidRPr="000D5CB8">
        <w:rPr>
          <w:rFonts w:asciiTheme="majorHAnsi" w:eastAsia="Times New Roman" w:hAnsiTheme="majorHAnsi" w:cstheme="majorHAnsi"/>
        </w:rPr>
        <w:t>state</w:t>
      </w:r>
      <w:proofErr w:type="gramEnd"/>
      <w:r w:rsidRPr="000D5CB8">
        <w:rPr>
          <w:rFonts w:asciiTheme="majorHAnsi" w:eastAsia="Times New Roman" w:hAnsiTheme="majorHAnsi" w:cstheme="majorHAnsi"/>
        </w:rPr>
        <w:t xml:space="preserve"> was an autocratic state being ruled in the name of the Lord. Thomas Aquinas, </w:t>
      </w:r>
      <w:r w:rsidRPr="000D5CB8">
        <w:rPr>
          <w:rFonts w:asciiTheme="majorHAnsi" w:eastAsia="Times New Roman" w:hAnsiTheme="majorHAnsi" w:cstheme="majorHAnsi"/>
        </w:rPr>
        <w:lastRenderedPageBreak/>
        <w:t xml:space="preserve">who is one of the most popular Medieval commentators, does comment on Romans 13 and the view of authority and obedience to the state saying, </w:t>
      </w:r>
    </w:p>
    <w:p w14:paraId="37F5F9AA" w14:textId="77777777" w:rsidR="005E23AC" w:rsidRPr="000D5CB8" w:rsidRDefault="006A3099" w:rsidP="000D5CB8">
      <w:pPr>
        <w:ind w:left="720" w:right="720"/>
        <w:jc w:val="both"/>
        <w:rPr>
          <w:rFonts w:asciiTheme="majorHAnsi" w:eastAsia="Times New Roman" w:hAnsiTheme="majorHAnsi" w:cstheme="majorHAnsi"/>
        </w:rPr>
      </w:pPr>
      <w:r w:rsidRPr="000D5CB8">
        <w:rPr>
          <w:rFonts w:asciiTheme="majorHAnsi" w:eastAsia="Times New Roman" w:hAnsiTheme="majorHAnsi" w:cstheme="majorHAnsi"/>
        </w:rPr>
        <w:t xml:space="preserve">“Christians are bound to obey the authorities </w:t>
      </w:r>
      <w:proofErr w:type="gramStart"/>
      <w:r w:rsidRPr="000D5CB8">
        <w:rPr>
          <w:rFonts w:asciiTheme="majorHAnsi" w:eastAsia="Times New Roman" w:hAnsiTheme="majorHAnsi" w:cstheme="majorHAnsi"/>
        </w:rPr>
        <w:t>inasmuch as</w:t>
      </w:r>
      <w:proofErr w:type="gramEnd"/>
      <w:r w:rsidRPr="000D5CB8">
        <w:rPr>
          <w:rFonts w:asciiTheme="majorHAnsi" w:eastAsia="Times New Roman" w:hAnsiTheme="majorHAnsi" w:cstheme="majorHAnsi"/>
        </w:rPr>
        <w:t xml:space="preserve"> they are from God; and they are not bound to obey </w:t>
      </w:r>
      <w:proofErr w:type="gramStart"/>
      <w:r w:rsidRPr="000D5CB8">
        <w:rPr>
          <w:rFonts w:asciiTheme="majorHAnsi" w:eastAsia="Times New Roman" w:hAnsiTheme="majorHAnsi" w:cstheme="majorHAnsi"/>
        </w:rPr>
        <w:t>inasmuch as</w:t>
      </w:r>
      <w:proofErr w:type="gramEnd"/>
      <w:r w:rsidRPr="000D5CB8">
        <w:rPr>
          <w:rFonts w:asciiTheme="majorHAnsi" w:eastAsia="Times New Roman" w:hAnsiTheme="majorHAnsi" w:cstheme="majorHAnsi"/>
        </w:rPr>
        <w:t xml:space="preserve"> the authority is not from God…for whoever possesses himself of power by violence does not truly become lord or master. Therefore, it is permissible, when occasion offers, for a person to reject such authority…In keeping with the teachings of Jesus, the command to a sinful action always requires disobedience, while an unjust demand of payment might be obeyed or disobeyed.”</w:t>
      </w:r>
      <w:r w:rsidRPr="000D5CB8">
        <w:rPr>
          <w:rFonts w:asciiTheme="majorHAnsi" w:eastAsia="Times New Roman" w:hAnsiTheme="majorHAnsi" w:cstheme="majorHAnsi"/>
          <w:vertAlign w:val="superscript"/>
        </w:rPr>
        <w:footnoteReference w:id="38"/>
      </w:r>
    </w:p>
    <w:p w14:paraId="7277C60C" w14:textId="77777777" w:rsidR="005E23AC" w:rsidRPr="000D5CB8" w:rsidRDefault="005E23AC" w:rsidP="000D5CB8">
      <w:pPr>
        <w:ind w:right="720"/>
        <w:jc w:val="both"/>
        <w:rPr>
          <w:rFonts w:asciiTheme="majorHAnsi" w:eastAsia="Times New Roman" w:hAnsiTheme="majorHAnsi" w:cstheme="majorHAnsi"/>
        </w:rPr>
      </w:pPr>
    </w:p>
    <w:p w14:paraId="77F5ABA6"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Though he does see the state as a creation of God he allows for the possibility of evil rulers. His belief is that the Christian response is to obey Jesus, rather than the king, when their commands do not align. Yet he did not reject Christians working for the state as there was a church-state in the </w:t>
      </w:r>
      <w:proofErr w:type="gramStart"/>
      <w:r w:rsidRPr="000D5CB8">
        <w:rPr>
          <w:rFonts w:asciiTheme="majorHAnsi" w:eastAsia="Times New Roman" w:hAnsiTheme="majorHAnsi" w:cstheme="majorHAnsi"/>
        </w:rPr>
        <w:t>middle ages</w:t>
      </w:r>
      <w:proofErr w:type="gramEnd"/>
      <w:r w:rsidRPr="000D5CB8">
        <w:rPr>
          <w:rFonts w:asciiTheme="majorHAnsi" w:eastAsia="Times New Roman" w:hAnsiTheme="majorHAnsi" w:cstheme="majorHAnsi"/>
        </w:rPr>
        <w:t>.</w:t>
      </w:r>
    </w:p>
    <w:p w14:paraId="26C6F1B9"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During the Reformation era, beginning in the 16</w:t>
      </w:r>
      <w:r w:rsidRPr="000D5CB8">
        <w:rPr>
          <w:rFonts w:asciiTheme="majorHAnsi" w:eastAsia="Times New Roman" w:hAnsiTheme="majorHAnsi" w:cstheme="majorHAnsi"/>
          <w:vertAlign w:val="superscript"/>
        </w:rPr>
        <w:t>th</w:t>
      </w:r>
      <w:r w:rsidRPr="000D5CB8">
        <w:rPr>
          <w:rFonts w:asciiTheme="majorHAnsi" w:eastAsia="Times New Roman" w:hAnsiTheme="majorHAnsi" w:cstheme="majorHAnsi"/>
        </w:rPr>
        <w:t xml:space="preserve"> century, Erasmus was caught up in a new struggle of political theology. Erasmus concludes that Romans 13:1-7 was written to pagan rulers so a Christian ruler should not subjugate people as it is described in this text. Directed at Charles V, Erasmus summarizes this text with Romans 13:8 telling him to </w:t>
      </w:r>
      <w:proofErr w:type="gramStart"/>
      <w:r w:rsidRPr="000D5CB8">
        <w:rPr>
          <w:rFonts w:asciiTheme="majorHAnsi" w:eastAsia="Times New Roman" w:hAnsiTheme="majorHAnsi" w:cstheme="majorHAnsi"/>
        </w:rPr>
        <w:t>owe no one</w:t>
      </w:r>
      <w:proofErr w:type="gramEnd"/>
      <w:r w:rsidRPr="000D5CB8">
        <w:rPr>
          <w:rFonts w:asciiTheme="majorHAnsi" w:eastAsia="Times New Roman" w:hAnsiTheme="majorHAnsi" w:cstheme="majorHAnsi"/>
        </w:rPr>
        <w:t xml:space="preserve"> </w:t>
      </w:r>
      <w:proofErr w:type="gramStart"/>
      <w:r w:rsidRPr="000D5CB8">
        <w:rPr>
          <w:rFonts w:asciiTheme="majorHAnsi" w:eastAsia="Times New Roman" w:hAnsiTheme="majorHAnsi" w:cstheme="majorHAnsi"/>
        </w:rPr>
        <w:t>anything</w:t>
      </w:r>
      <w:proofErr w:type="gramEnd"/>
      <w:r w:rsidRPr="000D5CB8">
        <w:rPr>
          <w:rFonts w:asciiTheme="majorHAnsi" w:eastAsia="Times New Roman" w:hAnsiTheme="majorHAnsi" w:cstheme="majorHAnsi"/>
        </w:rPr>
        <w:t xml:space="preserve"> except for love.</w:t>
      </w:r>
      <w:r w:rsidRPr="000D5CB8">
        <w:rPr>
          <w:rFonts w:asciiTheme="majorHAnsi" w:eastAsia="Times New Roman" w:hAnsiTheme="majorHAnsi" w:cstheme="majorHAnsi"/>
          <w:vertAlign w:val="superscript"/>
        </w:rPr>
        <w:footnoteReference w:id="39"/>
      </w:r>
      <w:r w:rsidRPr="000D5CB8">
        <w:rPr>
          <w:rFonts w:asciiTheme="majorHAnsi" w:eastAsia="Times New Roman" w:hAnsiTheme="majorHAnsi" w:cstheme="majorHAnsi"/>
        </w:rPr>
        <w:t xml:space="preserve"> </w:t>
      </w:r>
    </w:p>
    <w:p w14:paraId="393407C5"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Mark Reasoner in examining Luther’s view on Romans 13:1-7, considers Luther’s </w:t>
      </w:r>
      <w:r w:rsidRPr="000D5CB8">
        <w:rPr>
          <w:rFonts w:asciiTheme="majorHAnsi" w:eastAsia="Times New Roman" w:hAnsiTheme="majorHAnsi" w:cstheme="majorHAnsi"/>
          <w:i/>
        </w:rPr>
        <w:t>Two Kingdoms</w:t>
      </w:r>
      <w:r w:rsidRPr="000D5CB8">
        <w:rPr>
          <w:rFonts w:asciiTheme="majorHAnsi" w:eastAsia="Times New Roman" w:hAnsiTheme="majorHAnsi" w:cstheme="majorHAnsi"/>
        </w:rPr>
        <w:t xml:space="preserve"> doctrine to be based on these submission texts and sees that it can be found in part in Augustine’s </w:t>
      </w:r>
      <w:r w:rsidRPr="000D5CB8">
        <w:rPr>
          <w:rFonts w:asciiTheme="majorHAnsi" w:eastAsia="Times New Roman" w:hAnsiTheme="majorHAnsi" w:cstheme="majorHAnsi"/>
          <w:i/>
        </w:rPr>
        <w:t>City of God</w:t>
      </w:r>
      <w:r w:rsidRPr="000D5CB8">
        <w:rPr>
          <w:rFonts w:asciiTheme="majorHAnsi" w:eastAsia="Times New Roman" w:hAnsiTheme="majorHAnsi" w:cstheme="majorHAnsi"/>
        </w:rPr>
        <w:t xml:space="preserve">, but he believes that Luther gave birth to it in its fullness. This </w:t>
      </w:r>
      <w:r w:rsidRPr="000D5CB8">
        <w:rPr>
          <w:rFonts w:asciiTheme="majorHAnsi" w:eastAsia="Times New Roman" w:hAnsiTheme="majorHAnsi" w:cstheme="majorHAnsi"/>
          <w:i/>
        </w:rPr>
        <w:t>Two Kingdoms</w:t>
      </w:r>
      <w:r w:rsidRPr="000D5CB8">
        <w:rPr>
          <w:rFonts w:asciiTheme="majorHAnsi" w:eastAsia="Times New Roman" w:hAnsiTheme="majorHAnsi" w:cstheme="majorHAnsi"/>
        </w:rPr>
        <w:t xml:space="preserve"> doctrine granted independence to the state and the church in the “spheres” in which they rule. The government was to have free reign in the secular sphere and the church in the spiritual, both as God’s instruments. This should not be confused with two places but rather with two ways that God rules the world, which are distinguished but in unity, overlapping.</w:t>
      </w:r>
      <w:r w:rsidRPr="000D5CB8">
        <w:rPr>
          <w:rFonts w:asciiTheme="majorHAnsi" w:eastAsia="Times New Roman" w:hAnsiTheme="majorHAnsi" w:cstheme="majorHAnsi"/>
          <w:vertAlign w:val="superscript"/>
        </w:rPr>
        <w:footnoteReference w:id="40"/>
      </w:r>
      <w:r w:rsidRPr="000D5CB8">
        <w:rPr>
          <w:rFonts w:asciiTheme="majorHAnsi" w:eastAsia="Times New Roman" w:hAnsiTheme="majorHAnsi" w:cstheme="majorHAnsi"/>
        </w:rPr>
        <w:t xml:space="preserve"> Whereas throughout this paper we’ll refer to the world and the church as two separate kingdoms in New Testament theology and as seeing the state and the church as distinct and not overlapping- contra Luther. </w:t>
      </w:r>
    </w:p>
    <w:p w14:paraId="1C1AE7EF"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Luther also points out that the secular authorities are above the church in this age quoting Romans 13:1.</w:t>
      </w:r>
      <w:r w:rsidRPr="000D5CB8">
        <w:rPr>
          <w:rFonts w:asciiTheme="majorHAnsi" w:eastAsia="Times New Roman" w:hAnsiTheme="majorHAnsi" w:cstheme="majorHAnsi"/>
          <w:vertAlign w:val="superscript"/>
        </w:rPr>
        <w:footnoteReference w:id="41"/>
      </w:r>
      <w:r w:rsidRPr="000D5CB8">
        <w:rPr>
          <w:rFonts w:asciiTheme="majorHAnsi" w:eastAsia="Times New Roman" w:hAnsiTheme="majorHAnsi" w:cstheme="majorHAnsi"/>
        </w:rPr>
        <w:t xml:space="preserve"> He also argues against the Anabaptists who refused to participate in the civil state, similar to the ECFs,  that it is proper and good for Christians to work in service to the government but does not describe that the state must be moral.</w:t>
      </w:r>
      <w:r w:rsidRPr="000D5CB8">
        <w:rPr>
          <w:rFonts w:asciiTheme="majorHAnsi" w:eastAsia="Times New Roman" w:hAnsiTheme="majorHAnsi" w:cstheme="majorHAnsi"/>
          <w:vertAlign w:val="superscript"/>
        </w:rPr>
        <w:footnoteReference w:id="42"/>
      </w:r>
      <w:r w:rsidRPr="000D5CB8">
        <w:rPr>
          <w:rFonts w:asciiTheme="majorHAnsi" w:eastAsia="Times New Roman" w:hAnsiTheme="majorHAnsi" w:cstheme="majorHAnsi"/>
        </w:rPr>
        <w:t xml:space="preserve"> This can be seen with Prince Fredrick who asks Luther about how he should respond to the peasant revolt citing concepts from the Sermon on the Mount. Luther tells him that his role as the authority mandates him to take a harsh (even violent) stand against the rebelling peasants, as it is the role he plays as a civic leader.  The moral calling of the government is viewed as a top of the social hierarchical authority and not a bottom one as of a Christian.</w:t>
      </w:r>
      <w:r w:rsidRPr="000D5CB8">
        <w:rPr>
          <w:rFonts w:asciiTheme="majorHAnsi" w:eastAsia="Times New Roman" w:hAnsiTheme="majorHAnsi" w:cstheme="majorHAnsi"/>
          <w:vertAlign w:val="superscript"/>
        </w:rPr>
        <w:footnoteReference w:id="43"/>
      </w:r>
      <w:r w:rsidRPr="000D5CB8">
        <w:rPr>
          <w:rFonts w:asciiTheme="majorHAnsi" w:eastAsia="Times New Roman" w:hAnsiTheme="majorHAnsi" w:cstheme="majorHAnsi"/>
        </w:rPr>
        <w:t xml:space="preserve"> Luther’s </w:t>
      </w:r>
      <w:r w:rsidRPr="000D5CB8">
        <w:rPr>
          <w:rFonts w:asciiTheme="majorHAnsi" w:eastAsia="Times New Roman" w:hAnsiTheme="majorHAnsi" w:cstheme="majorHAnsi"/>
          <w:i/>
        </w:rPr>
        <w:t>Two Kingdoms</w:t>
      </w:r>
      <w:r w:rsidRPr="000D5CB8">
        <w:rPr>
          <w:rFonts w:asciiTheme="majorHAnsi" w:eastAsia="Times New Roman" w:hAnsiTheme="majorHAnsi" w:cstheme="majorHAnsi"/>
        </w:rPr>
        <w:t xml:space="preserve"> view shows two overlapping ways God rules; through natural law in the state and special revelation in the church. There seems to be a division of soul and body, like Augustine, when interpreting these spheres when looking at the submission texts- the body subject to earthly powers and the soul subject to God. </w:t>
      </w:r>
    </w:p>
    <w:p w14:paraId="4F408DB8" w14:textId="77777777" w:rsidR="005E23AC" w:rsidRPr="000D5CB8" w:rsidRDefault="005E23AC" w:rsidP="000D5CB8">
      <w:pPr>
        <w:rPr>
          <w:rFonts w:asciiTheme="majorHAnsi" w:eastAsia="Times New Roman" w:hAnsiTheme="majorHAnsi" w:cstheme="majorHAnsi"/>
          <w:i/>
        </w:rPr>
      </w:pPr>
    </w:p>
    <w:p w14:paraId="7A89BA23" w14:textId="77777777" w:rsidR="005E23AC" w:rsidRPr="000D5CB8" w:rsidRDefault="006A3099" w:rsidP="000D5CB8">
      <w:pPr>
        <w:rPr>
          <w:rFonts w:asciiTheme="majorHAnsi" w:eastAsia="Times New Roman" w:hAnsiTheme="majorHAnsi" w:cstheme="majorHAnsi"/>
          <w:i/>
        </w:rPr>
      </w:pPr>
      <w:r w:rsidRPr="000D5CB8">
        <w:rPr>
          <w:rFonts w:asciiTheme="majorHAnsi" w:eastAsia="Times New Roman" w:hAnsiTheme="majorHAnsi" w:cstheme="majorHAnsi"/>
          <w:i/>
        </w:rPr>
        <w:t>Modern Interpreters</w:t>
      </w:r>
    </w:p>
    <w:p w14:paraId="10B6B8F1" w14:textId="77777777" w:rsidR="005E23AC" w:rsidRPr="000D5CB8" w:rsidRDefault="005E23AC" w:rsidP="000D5CB8">
      <w:pPr>
        <w:rPr>
          <w:rFonts w:asciiTheme="majorHAnsi" w:eastAsia="Times New Roman" w:hAnsiTheme="majorHAnsi" w:cstheme="majorHAnsi"/>
        </w:rPr>
      </w:pPr>
    </w:p>
    <w:p w14:paraId="4CE1C280"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lastRenderedPageBreak/>
        <w:tab/>
        <w:t>Karl Barth emphasizes that the state is essentially evil. He makes it clear that revolution is not the way for a Christian to respond to government. Barth viewed that political revolution still uses evil to get rid of evil due to its reliance on violence and coercion and concludes that the Christians’ response to the government listed in Romans 13:1-7 is to be one of theologically informed inactivity- to avoid fighting the state and in doing so one will avoid the passion filled legitimacy that it seeks to have.</w:t>
      </w:r>
      <w:r w:rsidRPr="000D5CB8">
        <w:rPr>
          <w:rFonts w:asciiTheme="majorHAnsi" w:eastAsia="Times New Roman" w:hAnsiTheme="majorHAnsi" w:cstheme="majorHAnsi"/>
          <w:vertAlign w:val="superscript"/>
        </w:rPr>
        <w:footnoteReference w:id="44"/>
      </w:r>
      <w:r w:rsidRPr="000D5CB8">
        <w:rPr>
          <w:rFonts w:asciiTheme="majorHAnsi" w:eastAsia="Times New Roman" w:hAnsiTheme="majorHAnsi" w:cstheme="majorHAnsi"/>
        </w:rPr>
        <w:t xml:space="preserve"> </w:t>
      </w:r>
    </w:p>
    <w:p w14:paraId="0BEF973F"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Barth frames Romans 12:21-13:7 as “The Great Negative Possibility” where he called 13:8-14 “The Great Positive Possibility” in which he emphasizes the love of neighbor, which is in participation with God, even towards those in government.</w:t>
      </w:r>
      <w:r w:rsidRPr="000D5CB8">
        <w:rPr>
          <w:rFonts w:asciiTheme="majorHAnsi" w:eastAsia="Times New Roman" w:hAnsiTheme="majorHAnsi" w:cstheme="majorHAnsi"/>
          <w:vertAlign w:val="superscript"/>
        </w:rPr>
        <w:footnoteReference w:id="45"/>
      </w:r>
      <w:r w:rsidRPr="000D5CB8">
        <w:rPr>
          <w:rFonts w:asciiTheme="majorHAnsi" w:eastAsia="Times New Roman" w:hAnsiTheme="majorHAnsi" w:cstheme="majorHAnsi"/>
        </w:rPr>
        <w:t xml:space="preserve"> Barth’s interpretation of Romans 13:1-7 and 1 Peter 2:13-17 is more like Origen and less like Luther. </w:t>
      </w:r>
      <w:proofErr w:type="gramStart"/>
      <w:r w:rsidRPr="000D5CB8">
        <w:rPr>
          <w:rFonts w:asciiTheme="majorHAnsi" w:eastAsia="Times New Roman" w:hAnsiTheme="majorHAnsi" w:cstheme="majorHAnsi"/>
        </w:rPr>
        <w:t>Similar to</w:t>
      </w:r>
      <w:proofErr w:type="gramEnd"/>
      <w:r w:rsidRPr="000D5CB8">
        <w:rPr>
          <w:rFonts w:asciiTheme="majorHAnsi" w:eastAsia="Times New Roman" w:hAnsiTheme="majorHAnsi" w:cstheme="majorHAnsi"/>
        </w:rPr>
        <w:t xml:space="preserve"> Origen, Barth finds the believers' disconnection from human government essential. In contrast with Luther, who invoked Romans 13:1-7 as a decisive act against the peasant revolt, Barth and Origen view this text as one of many that should inform a Christian how he should relate to the Powers and Principalities.</w:t>
      </w:r>
      <w:r w:rsidRPr="000D5CB8">
        <w:rPr>
          <w:rFonts w:asciiTheme="majorHAnsi" w:eastAsia="Times New Roman" w:hAnsiTheme="majorHAnsi" w:cstheme="majorHAnsi"/>
          <w:vertAlign w:val="superscript"/>
        </w:rPr>
        <w:footnoteReference w:id="46"/>
      </w:r>
      <w:r w:rsidRPr="000D5CB8">
        <w:rPr>
          <w:rFonts w:asciiTheme="majorHAnsi" w:eastAsia="Times New Roman" w:hAnsiTheme="majorHAnsi" w:cstheme="majorHAnsi"/>
        </w:rPr>
        <w:t xml:space="preserve"> Luther’s call is to general ethics where Barth’s call is grounded in Christology and Ecclesiological terms in relation to Christian love towards God first and also neighbor when looking at the grounding of these texts.</w:t>
      </w:r>
      <w:r w:rsidRPr="000D5CB8">
        <w:rPr>
          <w:rFonts w:asciiTheme="majorHAnsi" w:eastAsia="Times New Roman" w:hAnsiTheme="majorHAnsi" w:cstheme="majorHAnsi"/>
          <w:vertAlign w:val="superscript"/>
        </w:rPr>
        <w:footnoteReference w:id="47"/>
      </w:r>
      <w:r w:rsidRPr="000D5CB8">
        <w:rPr>
          <w:rFonts w:asciiTheme="majorHAnsi" w:eastAsia="Times New Roman" w:hAnsiTheme="majorHAnsi" w:cstheme="majorHAnsi"/>
        </w:rPr>
        <w:t xml:space="preserve"> </w:t>
      </w:r>
    </w:p>
    <w:p w14:paraId="018A1133"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The last angle of interpretation we’ll look at is what Mark Reasoner titles the “narrative-based approach.” Katherine Grieb sees how these texts contain subtle warnings for vulnerable Jews and Christians in Rome based on the historical circumstances of the letters to Rome and Diaspora churches. Grieb’s approach here involves finding the narrative of Scripture that Paul intends to be read behind the landscape of his letter and interpreting it through that lens. She emphasizes the status of Paul as a Roman prisoner as he writes this letter.</w:t>
      </w:r>
      <w:r w:rsidRPr="000D5CB8">
        <w:rPr>
          <w:rFonts w:asciiTheme="majorHAnsi" w:eastAsia="Times New Roman" w:hAnsiTheme="majorHAnsi" w:cstheme="majorHAnsi"/>
          <w:vertAlign w:val="superscript"/>
        </w:rPr>
        <w:footnoteReference w:id="48"/>
      </w:r>
      <w:r w:rsidRPr="000D5CB8">
        <w:rPr>
          <w:rFonts w:asciiTheme="majorHAnsi" w:eastAsia="Times New Roman" w:hAnsiTheme="majorHAnsi" w:cstheme="majorHAnsi"/>
        </w:rPr>
        <w:t xml:space="preserve">  N.T. Wright also takes this view, finding a Jewish perspective in the Pharisaic school of Hillel and within the first century followers of Jesus who strove to obey God first while living under the power of the empire.</w:t>
      </w:r>
      <w:r w:rsidRPr="000D5CB8">
        <w:rPr>
          <w:rFonts w:asciiTheme="majorHAnsi" w:eastAsia="Times New Roman" w:hAnsiTheme="majorHAnsi" w:cstheme="majorHAnsi"/>
          <w:vertAlign w:val="superscript"/>
        </w:rPr>
        <w:footnoteReference w:id="49"/>
      </w:r>
      <w:r w:rsidRPr="000D5CB8">
        <w:rPr>
          <w:rFonts w:asciiTheme="majorHAnsi" w:eastAsia="Times New Roman" w:hAnsiTheme="majorHAnsi" w:cstheme="majorHAnsi"/>
        </w:rPr>
        <w:t xml:space="preserve"> Both Wright and Grieb believe that Romans 13:1-7 is not a “full blown theology of church and state.”</w:t>
      </w:r>
      <w:r w:rsidRPr="000D5CB8">
        <w:rPr>
          <w:rFonts w:asciiTheme="majorHAnsi" w:eastAsia="Times New Roman" w:hAnsiTheme="majorHAnsi" w:cstheme="majorHAnsi"/>
          <w:vertAlign w:val="superscript"/>
        </w:rPr>
        <w:footnoteReference w:id="50"/>
      </w:r>
      <w:r w:rsidRPr="000D5CB8">
        <w:rPr>
          <w:rFonts w:asciiTheme="majorHAnsi" w:eastAsia="Times New Roman" w:hAnsiTheme="majorHAnsi" w:cstheme="majorHAnsi"/>
        </w:rPr>
        <w:t xml:space="preserve"> The text must be considered based on the background of Paul’s exhortations of loving neighbors in Romans 12 and is possibly an example of those hardest to love - the empire. This must be viewed, in their opinion, against the backdrop of the 49 CE expulsion of Jews from Rome and the historical circumstances that resulted from that. Essentially the message for them is to be subject for the sake of your neighbor, considering displaced Jews and what a revolt would do to those who are already struggling.</w:t>
      </w:r>
      <w:r w:rsidRPr="000D5CB8">
        <w:rPr>
          <w:rFonts w:asciiTheme="majorHAnsi" w:eastAsia="Times New Roman" w:hAnsiTheme="majorHAnsi" w:cstheme="majorHAnsi"/>
          <w:vertAlign w:val="superscript"/>
        </w:rPr>
        <w:footnoteReference w:id="51"/>
      </w:r>
      <w:r w:rsidRPr="000D5CB8">
        <w:rPr>
          <w:rFonts w:asciiTheme="majorHAnsi" w:eastAsia="Times New Roman" w:hAnsiTheme="majorHAnsi" w:cstheme="majorHAnsi"/>
        </w:rPr>
        <w:t xml:space="preserve">  </w:t>
      </w:r>
    </w:p>
    <w:p w14:paraId="28C285AE"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Our examination of the </w:t>
      </w:r>
      <w:r w:rsidRPr="000D5CB8">
        <w:rPr>
          <w:rFonts w:asciiTheme="majorHAnsi" w:eastAsia="Times New Roman" w:hAnsiTheme="majorHAnsi" w:cstheme="majorHAnsi"/>
          <w:i/>
        </w:rPr>
        <w:t>submission</w:t>
      </w:r>
      <w:r w:rsidRPr="000D5CB8">
        <w:rPr>
          <w:rFonts w:asciiTheme="majorHAnsi" w:eastAsia="Times New Roman" w:hAnsiTheme="majorHAnsi" w:cstheme="majorHAnsi"/>
        </w:rPr>
        <w:t xml:space="preserve"> texts (Romans 13:1-7 and 1 Peter 2:13-17) found that the history of interpretation has swayed between views of the state being the instrument of God and the view that it is ordained as God’s approved power on earth. We saw that Augustine, the Reformers, and some modern interpreters see that God is within and approving of the state and that it is not organized and run by hostile spiritual Powers. Satan is seen as simply over the religious sphere that is hostile towards God and not necessarily over the public sphere, though they overlap in ideals at times.</w:t>
      </w:r>
      <w:r w:rsidRPr="000D5CB8">
        <w:rPr>
          <w:rFonts w:asciiTheme="majorHAnsi" w:eastAsia="Times New Roman" w:hAnsiTheme="majorHAnsi" w:cstheme="majorHAnsi"/>
          <w:vertAlign w:val="superscript"/>
        </w:rPr>
        <w:footnoteReference w:id="52"/>
      </w:r>
      <w:r w:rsidRPr="000D5CB8">
        <w:rPr>
          <w:rFonts w:asciiTheme="majorHAnsi" w:eastAsia="Times New Roman" w:hAnsiTheme="majorHAnsi" w:cstheme="majorHAnsi"/>
        </w:rPr>
        <w:t xml:space="preserve"> Those who take this view primarily see government and political power as a good thing from God and not opposed to His kingdom. Those who </w:t>
      </w:r>
      <w:proofErr w:type="gramStart"/>
      <w:r w:rsidRPr="000D5CB8">
        <w:rPr>
          <w:rFonts w:asciiTheme="majorHAnsi" w:eastAsia="Times New Roman" w:hAnsiTheme="majorHAnsi" w:cstheme="majorHAnsi"/>
        </w:rPr>
        <w:lastRenderedPageBreak/>
        <w:t>hold to</w:t>
      </w:r>
      <w:proofErr w:type="gramEnd"/>
      <w:r w:rsidRPr="000D5CB8">
        <w:rPr>
          <w:rFonts w:asciiTheme="majorHAnsi" w:eastAsia="Times New Roman" w:hAnsiTheme="majorHAnsi" w:cstheme="majorHAnsi"/>
        </w:rPr>
        <w:t xml:space="preserve"> this view also see that involvement in politics and in government activity is an activity the church should be participating in. This would be considered true within the systematic theological view.</w:t>
      </w:r>
      <w:r w:rsidRPr="000D5CB8">
        <w:rPr>
          <w:rFonts w:asciiTheme="majorHAnsi" w:eastAsia="Times New Roman" w:hAnsiTheme="majorHAnsi" w:cstheme="majorHAnsi"/>
          <w:vertAlign w:val="superscript"/>
        </w:rPr>
        <w:footnoteReference w:id="53"/>
      </w:r>
      <w:r w:rsidRPr="000D5CB8">
        <w:rPr>
          <w:rFonts w:asciiTheme="majorHAnsi" w:eastAsia="Times New Roman" w:hAnsiTheme="majorHAnsi" w:cstheme="majorHAnsi"/>
        </w:rPr>
        <w:t xml:space="preserve"> </w:t>
      </w:r>
    </w:p>
    <w:p w14:paraId="498F27DF"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There are others that view these texts within their historical situation as described by Grieb and Wright above. Seeing the world as under Satan’s control (Origen and Barth) and that governments and systems (religious and otherwise) as being co-opted by the hostile Powers. These texts call the church to live as lights and as exiles in this world but not to be entangled. The primary call in these texts, according to this view, is to love enemies for the sake of Christ and love others in your community as yourself.</w:t>
      </w:r>
      <w:r w:rsidRPr="000D5CB8">
        <w:rPr>
          <w:rFonts w:asciiTheme="majorHAnsi" w:eastAsia="Times New Roman" w:hAnsiTheme="majorHAnsi" w:cstheme="majorHAnsi"/>
          <w:vertAlign w:val="superscript"/>
        </w:rPr>
        <w:footnoteReference w:id="54"/>
      </w:r>
      <w:r w:rsidRPr="000D5CB8">
        <w:rPr>
          <w:rFonts w:asciiTheme="majorHAnsi" w:eastAsia="Times New Roman" w:hAnsiTheme="majorHAnsi" w:cstheme="majorHAnsi"/>
        </w:rPr>
        <w:t xml:space="preserve">  </w:t>
      </w:r>
    </w:p>
    <w:p w14:paraId="13F97C2E" w14:textId="77777777" w:rsidR="005E23AC" w:rsidRPr="000D5CB8" w:rsidRDefault="006A3099" w:rsidP="000D5CB8">
      <w:pPr>
        <w:rPr>
          <w:rFonts w:asciiTheme="majorHAnsi" w:eastAsia="Times New Roman" w:hAnsiTheme="majorHAnsi" w:cstheme="majorHAnsi"/>
          <w:i/>
        </w:rPr>
      </w:pPr>
      <w:r w:rsidRPr="000D5CB8">
        <w:rPr>
          <w:rFonts w:asciiTheme="majorHAnsi" w:eastAsia="Times New Roman" w:hAnsiTheme="majorHAnsi" w:cstheme="majorHAnsi"/>
          <w:i/>
        </w:rPr>
        <w:t>Conflict Text (Revelation 13)</w:t>
      </w:r>
    </w:p>
    <w:p w14:paraId="651DAA8E" w14:textId="77777777" w:rsidR="005E23AC" w:rsidRPr="000D5CB8" w:rsidRDefault="005E23AC" w:rsidP="000D5CB8">
      <w:pPr>
        <w:rPr>
          <w:rFonts w:asciiTheme="majorHAnsi" w:eastAsia="Times New Roman" w:hAnsiTheme="majorHAnsi" w:cstheme="majorHAnsi"/>
        </w:rPr>
      </w:pPr>
    </w:p>
    <w:p w14:paraId="3E24EC1E"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As we noted above the interpretation of the Beasts and those in conflict with the Beasts depends on your view of Revelation. Here we will outline the major interpretive stance on Revelation and look at how they interpret the conflict in Revelation 13. Especially the identity of the Beast and whether each view sees it as a government or human authority. </w:t>
      </w:r>
    </w:p>
    <w:p w14:paraId="29830F45"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The first view is labeled the </w:t>
      </w:r>
      <w:r w:rsidRPr="000D5CB8">
        <w:rPr>
          <w:rFonts w:asciiTheme="majorHAnsi" w:eastAsia="Times New Roman" w:hAnsiTheme="majorHAnsi" w:cstheme="majorHAnsi"/>
          <w:i/>
        </w:rPr>
        <w:t>non-historical</w:t>
      </w:r>
      <w:r w:rsidRPr="000D5CB8">
        <w:rPr>
          <w:rFonts w:asciiTheme="majorHAnsi" w:eastAsia="Times New Roman" w:hAnsiTheme="majorHAnsi" w:cstheme="majorHAnsi"/>
        </w:rPr>
        <w:t xml:space="preserve"> view. This view interprets Revelation as poetic, spiritual or idealist. This method presents “timeless truths” when one understands the prophetic visions. One could consider this a spiritual reading of the text having application within all ages for Christians. For instance, Origen interprets Revelation 13’s Beast and its heads as representing the power of evil, empire, and the seven deadly sins. The value of this approach is that it is applicable in all times and places as universal symbols, but it does reduce the letter to generalities and robs it of anything specific.</w:t>
      </w:r>
      <w:r w:rsidRPr="000D5CB8">
        <w:rPr>
          <w:rFonts w:asciiTheme="majorHAnsi" w:eastAsia="Times New Roman" w:hAnsiTheme="majorHAnsi" w:cstheme="majorHAnsi"/>
          <w:vertAlign w:val="superscript"/>
        </w:rPr>
        <w:footnoteReference w:id="55"/>
      </w:r>
      <w:r w:rsidRPr="000D5CB8">
        <w:rPr>
          <w:rFonts w:asciiTheme="majorHAnsi" w:eastAsia="Times New Roman" w:hAnsiTheme="majorHAnsi" w:cstheme="majorHAnsi"/>
        </w:rPr>
        <w:t xml:space="preserve">  </w:t>
      </w:r>
    </w:p>
    <w:p w14:paraId="23ED91C6"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The second view is the </w:t>
      </w:r>
      <w:r w:rsidRPr="000D5CB8">
        <w:rPr>
          <w:rFonts w:asciiTheme="majorHAnsi" w:eastAsia="Times New Roman" w:hAnsiTheme="majorHAnsi" w:cstheme="majorHAnsi"/>
          <w:i/>
        </w:rPr>
        <w:t>Church-historical</w:t>
      </w:r>
      <w:r w:rsidRPr="000D5CB8">
        <w:rPr>
          <w:rFonts w:asciiTheme="majorHAnsi" w:eastAsia="Times New Roman" w:hAnsiTheme="majorHAnsi" w:cstheme="majorHAnsi"/>
        </w:rPr>
        <w:t xml:space="preserve"> view. This view looks at the text as a continuous world history timeline. Prophecy in this view is seen as future events. It was held by the Reformers such as Luther and often refers to </w:t>
      </w:r>
      <w:proofErr w:type="gramStart"/>
      <w:r w:rsidRPr="000D5CB8">
        <w:rPr>
          <w:rFonts w:asciiTheme="majorHAnsi" w:eastAsia="Times New Roman" w:hAnsiTheme="majorHAnsi" w:cstheme="majorHAnsi"/>
        </w:rPr>
        <w:t>the Papacy</w:t>
      </w:r>
      <w:proofErr w:type="gramEnd"/>
      <w:r w:rsidRPr="000D5CB8">
        <w:rPr>
          <w:rFonts w:asciiTheme="majorHAnsi" w:eastAsia="Times New Roman" w:hAnsiTheme="majorHAnsi" w:cstheme="majorHAnsi"/>
        </w:rPr>
        <w:t xml:space="preserve"> as the Beast. The Roman Catholics also turned this interpretive method back on Luther finding ways to make his name equal 666. Others indicate that the Beast of the sea could be pagan Rome with the Papacy as the land Beast.</w:t>
      </w:r>
      <w:r w:rsidRPr="000D5CB8">
        <w:rPr>
          <w:rFonts w:asciiTheme="majorHAnsi" w:eastAsia="Times New Roman" w:hAnsiTheme="majorHAnsi" w:cstheme="majorHAnsi"/>
          <w:vertAlign w:val="superscript"/>
        </w:rPr>
        <w:footnoteReference w:id="56"/>
      </w:r>
      <w:r w:rsidRPr="000D5CB8">
        <w:rPr>
          <w:rFonts w:asciiTheme="majorHAnsi" w:eastAsia="Times New Roman" w:hAnsiTheme="majorHAnsi" w:cstheme="majorHAnsi"/>
        </w:rPr>
        <w:t xml:space="preserve"> The view of prophecy in this interpretive lens is primarily concerned with the events in European history as interpreted by the Reformers. The positive aspect of this view is that it shows all of history (though primarily European) as under God’s sovereign control. Potential problems with this view entail the book would have no meaning to its first hearers and original audience. It is also incredibly Western (European and North American) focused, while ignoring much of the rest of the world and its history. This view of the prophetic misunderstands the meaning of prophecy in the OT, reducing it to purely future predictions.</w:t>
      </w:r>
      <w:r w:rsidRPr="000D5CB8">
        <w:rPr>
          <w:rFonts w:asciiTheme="majorHAnsi" w:eastAsia="Times New Roman" w:hAnsiTheme="majorHAnsi" w:cstheme="majorHAnsi"/>
          <w:vertAlign w:val="superscript"/>
        </w:rPr>
        <w:footnoteReference w:id="57"/>
      </w:r>
      <w:r w:rsidRPr="000D5CB8">
        <w:rPr>
          <w:rFonts w:asciiTheme="majorHAnsi" w:eastAsia="Times New Roman" w:hAnsiTheme="majorHAnsi" w:cstheme="majorHAnsi"/>
        </w:rPr>
        <w:t xml:space="preserve"> Likewise, within this view there are a variety of interpretations that usually cancel each other out and </w:t>
      </w:r>
      <w:r w:rsidRPr="000D5CB8">
        <w:rPr>
          <w:rFonts w:asciiTheme="majorHAnsi" w:eastAsia="Times New Roman" w:hAnsiTheme="majorHAnsi" w:cstheme="majorHAnsi"/>
        </w:rPr>
        <w:lastRenderedPageBreak/>
        <w:t>invalidate the method of interpretation.  There are no critical New Testament scholars that hold to this view today.</w:t>
      </w:r>
      <w:r w:rsidRPr="000D5CB8">
        <w:rPr>
          <w:rFonts w:asciiTheme="majorHAnsi" w:eastAsia="Times New Roman" w:hAnsiTheme="majorHAnsi" w:cstheme="majorHAnsi"/>
          <w:vertAlign w:val="superscript"/>
        </w:rPr>
        <w:footnoteReference w:id="58"/>
      </w:r>
      <w:r w:rsidRPr="000D5CB8">
        <w:rPr>
          <w:rFonts w:asciiTheme="majorHAnsi" w:eastAsia="Times New Roman" w:hAnsiTheme="majorHAnsi" w:cstheme="majorHAnsi"/>
        </w:rPr>
        <w:t xml:space="preserve"> </w:t>
      </w:r>
    </w:p>
    <w:p w14:paraId="6BFE2C3F"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The third viewpoint is called </w:t>
      </w:r>
      <w:r w:rsidRPr="000D5CB8">
        <w:rPr>
          <w:rFonts w:asciiTheme="majorHAnsi" w:eastAsia="Times New Roman" w:hAnsiTheme="majorHAnsi" w:cstheme="majorHAnsi"/>
          <w:i/>
        </w:rPr>
        <w:t>end-historical</w:t>
      </w:r>
      <w:r w:rsidRPr="000D5CB8">
        <w:rPr>
          <w:rFonts w:asciiTheme="majorHAnsi" w:eastAsia="Times New Roman" w:hAnsiTheme="majorHAnsi" w:cstheme="majorHAnsi"/>
        </w:rPr>
        <w:t xml:space="preserve"> or the futurist view. It is also referred to as the dispensationalism premillennial interpretation of Revelation. Like the Church-historical view, the end-historical view looks at prophecy as purely a future fulfillment, yet it does differ in a few ways. One way that we listed above is that it sometimes sees the seven churches as eras in church history and then the remainder of the letter will be played out in the last years of world history. In this view the Beast of the sea is a ruling power that is yet to appear and will be a revival of the Roman empire (Scofield Reference Bible study note on Rev 13:1).</w:t>
      </w:r>
      <w:r w:rsidRPr="000D5CB8">
        <w:rPr>
          <w:rFonts w:asciiTheme="majorHAnsi" w:eastAsia="Times New Roman" w:hAnsiTheme="majorHAnsi" w:cstheme="majorHAnsi"/>
          <w:vertAlign w:val="superscript"/>
        </w:rPr>
        <w:footnoteReference w:id="59"/>
      </w:r>
      <w:r w:rsidRPr="000D5CB8">
        <w:rPr>
          <w:rFonts w:asciiTheme="majorHAnsi" w:eastAsia="Times New Roman" w:hAnsiTheme="majorHAnsi" w:cstheme="majorHAnsi"/>
        </w:rPr>
        <w:t xml:space="preserve"> This view interprets the Beast of the sea as an “end times” government ruled by Satan’s influence but doesn’t see governments today as necessarily that way. Many within this view see state structures as God’s providential plan and way in which God intends the world to be run though those structures. The only time Satan will be in control of the governmental system is when this “end times” empire, through the singular antichrist, comes into existence.</w:t>
      </w:r>
      <w:r w:rsidRPr="000D5CB8">
        <w:rPr>
          <w:rFonts w:asciiTheme="majorHAnsi" w:eastAsia="Times New Roman" w:hAnsiTheme="majorHAnsi" w:cstheme="majorHAnsi"/>
          <w:vertAlign w:val="superscript"/>
        </w:rPr>
        <w:footnoteReference w:id="60"/>
      </w:r>
    </w:p>
    <w:p w14:paraId="10F46C7E"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The major issues with the dispensational interpretation are that it places the events in the modern interpreter’s lifetime, if they are the last generation, and it is nearly meaningless to the original audience in first century Asia Minor.</w:t>
      </w:r>
      <w:r w:rsidRPr="000D5CB8">
        <w:rPr>
          <w:rFonts w:asciiTheme="majorHAnsi" w:eastAsia="Times New Roman" w:hAnsiTheme="majorHAnsi" w:cstheme="majorHAnsi"/>
          <w:vertAlign w:val="superscript"/>
        </w:rPr>
        <w:footnoteReference w:id="61"/>
      </w:r>
      <w:r w:rsidRPr="000D5CB8">
        <w:rPr>
          <w:rFonts w:asciiTheme="majorHAnsi" w:eastAsia="Times New Roman" w:hAnsiTheme="majorHAnsi" w:cstheme="majorHAnsi"/>
        </w:rPr>
        <w:t xml:space="preserve"> It also conflates the meaning of prophecy, believing that it is only about future predictions and misconstrues the language used in Revelation to support sectarian understandings of Christianity.</w:t>
      </w:r>
      <w:r w:rsidRPr="000D5CB8">
        <w:rPr>
          <w:rFonts w:asciiTheme="majorHAnsi" w:eastAsia="Times New Roman" w:hAnsiTheme="majorHAnsi" w:cstheme="majorHAnsi"/>
          <w:vertAlign w:val="superscript"/>
        </w:rPr>
        <w:footnoteReference w:id="62"/>
      </w:r>
      <w:r w:rsidRPr="000D5CB8">
        <w:rPr>
          <w:rFonts w:asciiTheme="majorHAnsi" w:eastAsia="Times New Roman" w:hAnsiTheme="majorHAnsi" w:cstheme="majorHAnsi"/>
        </w:rPr>
        <w:t xml:space="preserve"> Another argument against this view and its interpretative framework is that it is a new phenomenon in Biblical interpretation. The brand of futurism that is prominent in most American churches originated in the 1820s with John Nelson Darby and the Plymouth Brethren which speaks of a future antichrist ruling a one world government, seven-year tribulation, and rapture.</w:t>
      </w:r>
      <w:r w:rsidRPr="000D5CB8">
        <w:rPr>
          <w:rFonts w:asciiTheme="majorHAnsi" w:eastAsia="Times New Roman" w:hAnsiTheme="majorHAnsi" w:cstheme="majorHAnsi"/>
          <w:vertAlign w:val="superscript"/>
        </w:rPr>
        <w:footnoteReference w:id="63"/>
      </w:r>
      <w:r w:rsidRPr="000D5CB8">
        <w:rPr>
          <w:rFonts w:asciiTheme="majorHAnsi" w:eastAsia="Times New Roman" w:hAnsiTheme="majorHAnsi" w:cstheme="majorHAnsi"/>
        </w:rPr>
        <w:t xml:space="preserve"> All of this was absent from the teachings in the early church.</w:t>
      </w:r>
      <w:r w:rsidRPr="000D5CB8">
        <w:rPr>
          <w:rFonts w:asciiTheme="majorHAnsi" w:eastAsia="Times New Roman" w:hAnsiTheme="majorHAnsi" w:cstheme="majorHAnsi"/>
          <w:vertAlign w:val="superscript"/>
        </w:rPr>
        <w:footnoteReference w:id="64"/>
      </w:r>
      <w:r w:rsidRPr="000D5CB8">
        <w:rPr>
          <w:rFonts w:asciiTheme="majorHAnsi" w:eastAsia="Times New Roman" w:hAnsiTheme="majorHAnsi" w:cstheme="majorHAnsi"/>
        </w:rPr>
        <w:t xml:space="preserve">  </w:t>
      </w:r>
    </w:p>
    <w:p w14:paraId="0BF2DE24"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The fourth view is called the </w:t>
      </w:r>
      <w:r w:rsidRPr="000D5CB8">
        <w:rPr>
          <w:rFonts w:asciiTheme="majorHAnsi" w:eastAsia="Times New Roman" w:hAnsiTheme="majorHAnsi" w:cstheme="majorHAnsi"/>
          <w:i/>
        </w:rPr>
        <w:t>contemporary-historical</w:t>
      </w:r>
      <w:r w:rsidRPr="000D5CB8">
        <w:rPr>
          <w:rFonts w:asciiTheme="majorHAnsi" w:eastAsia="Times New Roman" w:hAnsiTheme="majorHAnsi" w:cstheme="majorHAnsi"/>
        </w:rPr>
        <w:t xml:space="preserve"> interpretation. “Contemporary” here refers to the contemporary circumstances of John’s hearers and readers and not to a modern audience as the primary target of the letter.</w:t>
      </w:r>
      <w:r w:rsidRPr="000D5CB8">
        <w:rPr>
          <w:rFonts w:asciiTheme="majorHAnsi" w:eastAsia="Times New Roman" w:hAnsiTheme="majorHAnsi" w:cstheme="majorHAnsi"/>
          <w:vertAlign w:val="superscript"/>
        </w:rPr>
        <w:t xml:space="preserve"> </w:t>
      </w:r>
      <w:r w:rsidRPr="000D5CB8">
        <w:rPr>
          <w:rFonts w:asciiTheme="majorHAnsi" w:eastAsia="Times New Roman" w:hAnsiTheme="majorHAnsi" w:cstheme="majorHAnsi"/>
          <w:vertAlign w:val="superscript"/>
        </w:rPr>
        <w:footnoteReference w:id="65"/>
      </w:r>
      <w:r w:rsidRPr="000D5CB8">
        <w:rPr>
          <w:rFonts w:asciiTheme="majorHAnsi" w:eastAsia="Times New Roman" w:hAnsiTheme="majorHAnsi" w:cstheme="majorHAnsi"/>
        </w:rPr>
        <w:t xml:space="preserve">  It is sometimes referred to as a preterist interpretation but for this method one does not need to take a pre-70 AD date for the letter. It is simply a historical interpretation of Revelation. The framework for this view is that it must be interpreted according to what the original intended audience would have understood, within their cultural context, and according to the genre of Jewish apocalypse.</w:t>
      </w:r>
      <w:r w:rsidRPr="000D5CB8">
        <w:rPr>
          <w:rFonts w:asciiTheme="majorHAnsi" w:eastAsia="Times New Roman" w:hAnsiTheme="majorHAnsi" w:cstheme="majorHAnsi"/>
          <w:vertAlign w:val="superscript"/>
        </w:rPr>
        <w:t xml:space="preserve"> </w:t>
      </w:r>
      <w:r w:rsidRPr="000D5CB8">
        <w:rPr>
          <w:rFonts w:asciiTheme="majorHAnsi" w:eastAsia="Times New Roman" w:hAnsiTheme="majorHAnsi" w:cstheme="majorHAnsi"/>
          <w:vertAlign w:val="superscript"/>
        </w:rPr>
        <w:footnoteReference w:id="66"/>
      </w:r>
      <w:r w:rsidRPr="000D5CB8">
        <w:rPr>
          <w:rFonts w:asciiTheme="majorHAnsi" w:eastAsia="Times New Roman" w:hAnsiTheme="majorHAnsi" w:cstheme="majorHAnsi"/>
        </w:rPr>
        <w:t xml:space="preserve">  The text must mean to us what it meant to the original audience.    </w:t>
      </w:r>
    </w:p>
    <w:p w14:paraId="7F40BFAD"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In the </w:t>
      </w:r>
      <w:r w:rsidRPr="000D5CB8">
        <w:rPr>
          <w:rFonts w:asciiTheme="majorHAnsi" w:eastAsia="Times New Roman" w:hAnsiTheme="majorHAnsi" w:cstheme="majorHAnsi"/>
          <w:i/>
        </w:rPr>
        <w:t>contemporary-historical</w:t>
      </w:r>
      <w:r w:rsidRPr="000D5CB8">
        <w:rPr>
          <w:rFonts w:asciiTheme="majorHAnsi" w:eastAsia="Times New Roman" w:hAnsiTheme="majorHAnsi" w:cstheme="majorHAnsi"/>
        </w:rPr>
        <w:t xml:space="preserve"> interpretation the Beast of the </w:t>
      </w:r>
      <w:proofErr w:type="gramStart"/>
      <w:r w:rsidRPr="000D5CB8">
        <w:rPr>
          <w:rFonts w:asciiTheme="majorHAnsi" w:eastAsia="Times New Roman" w:hAnsiTheme="majorHAnsi" w:cstheme="majorHAnsi"/>
        </w:rPr>
        <w:t>sea</w:t>
      </w:r>
      <w:proofErr w:type="gramEnd"/>
      <w:r w:rsidRPr="000D5CB8">
        <w:rPr>
          <w:rFonts w:asciiTheme="majorHAnsi" w:eastAsia="Times New Roman" w:hAnsiTheme="majorHAnsi" w:cstheme="majorHAnsi"/>
        </w:rPr>
        <w:t xml:space="preserve"> is the Roman empire, pictured as Daniel’s fourth beast from his visions in Daniel 7. It’s interpreted as a “symbol of an empire that has gone beyond its legitimate mandate by demanding idolatrous worship.”</w:t>
      </w:r>
      <w:r w:rsidRPr="000D5CB8">
        <w:rPr>
          <w:rFonts w:asciiTheme="majorHAnsi" w:eastAsia="Times New Roman" w:hAnsiTheme="majorHAnsi" w:cstheme="majorHAnsi"/>
          <w:vertAlign w:val="superscript"/>
        </w:rPr>
        <w:footnoteReference w:id="67"/>
      </w:r>
      <w:r w:rsidRPr="000D5CB8">
        <w:rPr>
          <w:rFonts w:asciiTheme="majorHAnsi" w:eastAsia="Times New Roman" w:hAnsiTheme="majorHAnsi" w:cstheme="majorHAnsi"/>
        </w:rPr>
        <w:t xml:space="preserve"> Many holding this view see the mark of the Beast representing allegiance, specifically an entanglement of political and religious allegiance (Beast of the earth) to the Roman empire and thus a warning against this to future readers of Revelation.</w:t>
      </w:r>
      <w:r w:rsidRPr="000D5CB8">
        <w:rPr>
          <w:rFonts w:asciiTheme="majorHAnsi" w:eastAsia="Times New Roman" w:hAnsiTheme="majorHAnsi" w:cstheme="majorHAnsi"/>
          <w:vertAlign w:val="superscript"/>
        </w:rPr>
        <w:footnoteReference w:id="68"/>
      </w:r>
      <w:r w:rsidRPr="000D5CB8">
        <w:rPr>
          <w:rFonts w:asciiTheme="majorHAnsi" w:eastAsia="Times New Roman" w:hAnsiTheme="majorHAnsi" w:cstheme="majorHAnsi"/>
        </w:rPr>
        <w:t xml:space="preserve"> </w:t>
      </w:r>
    </w:p>
    <w:p w14:paraId="72063D51"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lastRenderedPageBreak/>
        <w:tab/>
        <w:t>In summary, the essence of the conflict text is that God’s people are called to not participate in the “Beast," which all views frame as Empire. The question is whether this is purely the first century Roman empire, a future renewal of that, or can be applied typologically to all empires (“Babylon”).</w:t>
      </w:r>
    </w:p>
    <w:p w14:paraId="746B34CC"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 When combined with the submission texts there does seem to be some conflict depending on the viewpoint with which you approach Revelation. How can the Satan in Revelation 13 be controlling the state and likewise the state in Romans 13 be the instrument of God? Futurists who hold to a Luther </w:t>
      </w:r>
      <w:r w:rsidRPr="000D5CB8">
        <w:rPr>
          <w:rFonts w:asciiTheme="majorHAnsi" w:eastAsia="Times New Roman" w:hAnsiTheme="majorHAnsi" w:cstheme="majorHAnsi"/>
          <w:i/>
        </w:rPr>
        <w:t>Two Kingdoms</w:t>
      </w:r>
      <w:r w:rsidRPr="000D5CB8">
        <w:rPr>
          <w:rFonts w:asciiTheme="majorHAnsi" w:eastAsia="Times New Roman" w:hAnsiTheme="majorHAnsi" w:cstheme="majorHAnsi"/>
        </w:rPr>
        <w:t xml:space="preserve"> interpretive view of the submission texts must put the rulership of the Powers in simply a religious realm or place only the final government in history under the antichrist at the end of the age. </w:t>
      </w:r>
    </w:p>
    <w:p w14:paraId="4FD5775C" w14:textId="77777777" w:rsidR="005E23AC" w:rsidRPr="000D5CB8" w:rsidRDefault="005E23AC" w:rsidP="000D5CB8">
      <w:pPr>
        <w:rPr>
          <w:rFonts w:asciiTheme="majorHAnsi" w:eastAsia="Times New Roman" w:hAnsiTheme="majorHAnsi" w:cstheme="majorHAnsi"/>
        </w:rPr>
      </w:pPr>
    </w:p>
    <w:p w14:paraId="4B50EB00"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1.1.2 </w:t>
      </w:r>
      <w:r w:rsidRPr="000D5CB8">
        <w:rPr>
          <w:rFonts w:asciiTheme="majorHAnsi" w:eastAsia="Times New Roman" w:hAnsiTheme="majorHAnsi" w:cstheme="majorHAnsi"/>
          <w:i/>
        </w:rPr>
        <w:t xml:space="preserve">A New Proposal: A Deuteronomy 32 Worldview Framework </w:t>
      </w:r>
    </w:p>
    <w:p w14:paraId="7A542C06" w14:textId="77777777" w:rsidR="005E23AC" w:rsidRPr="000D5CB8" w:rsidRDefault="005E23AC" w:rsidP="000D5CB8">
      <w:pPr>
        <w:ind w:left="720"/>
        <w:rPr>
          <w:rFonts w:asciiTheme="majorHAnsi" w:eastAsia="Times New Roman" w:hAnsiTheme="majorHAnsi" w:cstheme="majorHAnsi"/>
        </w:rPr>
      </w:pPr>
    </w:p>
    <w:p w14:paraId="0A29D7E5" w14:textId="77777777" w:rsidR="005E23AC" w:rsidRPr="000D5CB8" w:rsidRDefault="005E23AC" w:rsidP="000D5CB8">
      <w:pPr>
        <w:ind w:left="720"/>
        <w:rPr>
          <w:rFonts w:asciiTheme="majorHAnsi" w:eastAsia="Times New Roman" w:hAnsiTheme="majorHAnsi" w:cstheme="majorHAnsi"/>
        </w:rPr>
      </w:pPr>
    </w:p>
    <w:p w14:paraId="024C2D75"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This project’s proposal is that a Deuteronomy 32 Worldview will bring clarity to the interpretation of Romans 13:1-7, 1 Peter 2:13-17, and Revelation 13. This hermeneutical framework has not been put forward </w:t>
      </w:r>
      <w:proofErr w:type="gramStart"/>
      <w:r w:rsidRPr="000D5CB8">
        <w:rPr>
          <w:rFonts w:asciiTheme="majorHAnsi" w:eastAsia="Times New Roman" w:hAnsiTheme="majorHAnsi" w:cstheme="majorHAnsi"/>
        </w:rPr>
        <w:t>as a way to</w:t>
      </w:r>
      <w:proofErr w:type="gramEnd"/>
      <w:r w:rsidRPr="000D5CB8">
        <w:rPr>
          <w:rFonts w:asciiTheme="majorHAnsi" w:eastAsia="Times New Roman" w:hAnsiTheme="majorHAnsi" w:cstheme="majorHAnsi"/>
        </w:rPr>
        <w:t xml:space="preserve"> interpret Christians’ relationship with the state and as a method to unify these three texts. The “Deuteronomy 32 Worldview” is a phrase coined by Michael Heiser in his work </w:t>
      </w:r>
      <w:r w:rsidRPr="000D5CB8">
        <w:rPr>
          <w:rFonts w:asciiTheme="majorHAnsi" w:eastAsia="Times New Roman" w:hAnsiTheme="majorHAnsi" w:cstheme="majorHAnsi"/>
          <w:i/>
        </w:rPr>
        <w:t>The Unseen Realm</w:t>
      </w:r>
      <w:r w:rsidRPr="000D5CB8">
        <w:rPr>
          <w:rFonts w:asciiTheme="majorHAnsi" w:eastAsia="Times New Roman" w:hAnsiTheme="majorHAnsi" w:cstheme="majorHAnsi"/>
        </w:rPr>
        <w:t>. It puts forth the thesis that the nations were divided up between the sons of God, who became rebellious spiritual beings (</w:t>
      </w:r>
      <w:proofErr w:type="spellStart"/>
      <w:r w:rsidRPr="000D5CB8">
        <w:rPr>
          <w:rFonts w:asciiTheme="majorHAnsi" w:eastAsia="Times New Roman" w:hAnsiTheme="majorHAnsi" w:cstheme="majorHAnsi"/>
          <w:i/>
        </w:rPr>
        <w:t>elohim</w:t>
      </w:r>
      <w:proofErr w:type="spellEnd"/>
      <w:r w:rsidRPr="000D5CB8">
        <w:rPr>
          <w:rFonts w:asciiTheme="majorHAnsi" w:eastAsia="Times New Roman" w:hAnsiTheme="majorHAnsi" w:cstheme="majorHAnsi"/>
        </w:rPr>
        <w:t xml:space="preserve">) following the events that transpired at the tower of </w:t>
      </w:r>
      <w:proofErr w:type="gramStart"/>
      <w:r w:rsidRPr="000D5CB8">
        <w:rPr>
          <w:rFonts w:asciiTheme="majorHAnsi" w:eastAsia="Times New Roman" w:hAnsiTheme="majorHAnsi" w:cstheme="majorHAnsi"/>
        </w:rPr>
        <w:t>Babel</w:t>
      </w:r>
      <w:proofErr w:type="gramEnd"/>
      <w:r w:rsidRPr="000D5CB8">
        <w:rPr>
          <w:rFonts w:asciiTheme="majorHAnsi" w:eastAsia="Times New Roman" w:hAnsiTheme="majorHAnsi" w:cstheme="majorHAnsi"/>
        </w:rPr>
        <w:t xml:space="preserve"> but Yahweh took Israel as his own through the calling of Abraham.</w:t>
      </w:r>
      <w:r w:rsidRPr="000D5CB8">
        <w:rPr>
          <w:rFonts w:asciiTheme="majorHAnsi" w:eastAsia="Times New Roman" w:hAnsiTheme="majorHAnsi" w:cstheme="majorHAnsi"/>
          <w:vertAlign w:val="superscript"/>
        </w:rPr>
        <w:footnoteReference w:id="69"/>
      </w:r>
      <w:r w:rsidRPr="000D5CB8">
        <w:rPr>
          <w:rFonts w:asciiTheme="majorHAnsi" w:eastAsia="Times New Roman" w:hAnsiTheme="majorHAnsi" w:cstheme="majorHAnsi"/>
        </w:rPr>
        <w:t xml:space="preserve"> Thus, all nations that are not Yahweh’s belong to hostile powers. </w:t>
      </w:r>
    </w:p>
    <w:p w14:paraId="3F789CFF"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The Deuteronomy 32 Worldview is based in Deuteronomy 32:8-9 where Moses is recounting the story of Babel and God’s disinheriting of the </w:t>
      </w:r>
      <w:proofErr w:type="spellStart"/>
      <w:r w:rsidRPr="000D5CB8">
        <w:rPr>
          <w:rFonts w:asciiTheme="majorHAnsi" w:eastAsia="Times New Roman" w:hAnsiTheme="majorHAnsi" w:cstheme="majorHAnsi"/>
        </w:rPr>
        <w:t>nations</w:t>
      </w:r>
      <w:proofErr w:type="spellEnd"/>
      <w:r w:rsidRPr="000D5CB8">
        <w:rPr>
          <w:rFonts w:asciiTheme="majorHAnsi" w:eastAsia="Times New Roman" w:hAnsiTheme="majorHAnsi" w:cstheme="majorHAnsi"/>
        </w:rPr>
        <w:t xml:space="preserve"> due to their rebellion. God places an </w:t>
      </w:r>
      <w:proofErr w:type="spellStart"/>
      <w:r w:rsidRPr="000D5CB8">
        <w:rPr>
          <w:rFonts w:asciiTheme="majorHAnsi" w:eastAsia="Times New Roman" w:hAnsiTheme="majorHAnsi" w:cstheme="majorHAnsi"/>
          <w:i/>
        </w:rPr>
        <w:t>elohim</w:t>
      </w:r>
      <w:proofErr w:type="spellEnd"/>
      <w:r w:rsidRPr="000D5CB8">
        <w:rPr>
          <w:rFonts w:asciiTheme="majorHAnsi" w:eastAsia="Times New Roman" w:hAnsiTheme="majorHAnsi" w:cstheme="majorHAnsi"/>
        </w:rPr>
        <w:t xml:space="preserve"> over each nation and eventually those </w:t>
      </w:r>
      <w:proofErr w:type="spellStart"/>
      <w:r w:rsidRPr="000D5CB8">
        <w:rPr>
          <w:rFonts w:asciiTheme="majorHAnsi" w:eastAsia="Times New Roman" w:hAnsiTheme="majorHAnsi" w:cstheme="majorHAnsi"/>
          <w:i/>
        </w:rPr>
        <w:t>elohim</w:t>
      </w:r>
      <w:proofErr w:type="spellEnd"/>
      <w:r w:rsidRPr="000D5CB8">
        <w:rPr>
          <w:rFonts w:asciiTheme="majorHAnsi" w:eastAsia="Times New Roman" w:hAnsiTheme="majorHAnsi" w:cstheme="majorHAnsi"/>
        </w:rPr>
        <w:t xml:space="preserve"> lead the nations astray and pervert justice (Psalm 82). Though this was a harsh punishment on humanity, God’s plans through Abraham, Israel, and now the church is to re-inherit the people from these nations into the kingdom of God. Heiser describes the Biblical narrative as: “From the fateful decision at Babel onward, the story of the Old Testament is about Israel versus the disinherited nations, and Yahweh versus the corrupt, rebel </w:t>
      </w:r>
      <w:proofErr w:type="spellStart"/>
      <w:r w:rsidRPr="000D5CB8">
        <w:rPr>
          <w:rFonts w:asciiTheme="majorHAnsi" w:eastAsia="Times New Roman" w:hAnsiTheme="majorHAnsi" w:cstheme="majorHAnsi"/>
          <w:i/>
        </w:rPr>
        <w:t>elohim</w:t>
      </w:r>
      <w:proofErr w:type="spellEnd"/>
      <w:r w:rsidRPr="000D5CB8">
        <w:rPr>
          <w:rFonts w:asciiTheme="majorHAnsi" w:eastAsia="Times New Roman" w:hAnsiTheme="majorHAnsi" w:cstheme="majorHAnsi"/>
        </w:rPr>
        <w:t xml:space="preserve"> of those nations. The division of the nations and their allotment under other </w:t>
      </w:r>
      <w:proofErr w:type="spellStart"/>
      <w:r w:rsidRPr="000D5CB8">
        <w:rPr>
          <w:rFonts w:asciiTheme="majorHAnsi" w:eastAsia="Times New Roman" w:hAnsiTheme="majorHAnsi" w:cstheme="majorHAnsi"/>
          <w:i/>
        </w:rPr>
        <w:t>elohim</w:t>
      </w:r>
      <w:proofErr w:type="spellEnd"/>
      <w:r w:rsidRPr="000D5CB8">
        <w:rPr>
          <w:rFonts w:asciiTheme="majorHAnsi" w:eastAsia="Times New Roman" w:hAnsiTheme="majorHAnsi" w:cstheme="majorHAnsi"/>
        </w:rPr>
        <w:t xml:space="preserve"> is behind the scenes in all sorts of places in biblical history.”</w:t>
      </w:r>
      <w:r w:rsidRPr="000D5CB8">
        <w:rPr>
          <w:rFonts w:asciiTheme="majorHAnsi" w:eastAsia="Times New Roman" w:hAnsiTheme="majorHAnsi" w:cstheme="majorHAnsi"/>
          <w:vertAlign w:val="superscript"/>
        </w:rPr>
        <w:footnoteReference w:id="70"/>
      </w:r>
      <w:r w:rsidRPr="000D5CB8">
        <w:rPr>
          <w:rFonts w:asciiTheme="majorHAnsi" w:eastAsia="Times New Roman" w:hAnsiTheme="majorHAnsi" w:cstheme="majorHAnsi"/>
        </w:rPr>
        <w:t xml:space="preserve"> With this Deuteronomy 32 Worldview as our framework for exegesis, it gives language, context, and clarity to the texts we are examining in this dissertation, showing the clear dichotomy between the kingdoms and systems of this world and the Kingdom of God.</w:t>
      </w:r>
    </w:p>
    <w:p w14:paraId="112BC506"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With this in mind, we can look at the context of these three letters and regardless of the Biblical author’s view of empire, the framework of Spiritual Powers controlling the systems of the world remains intact. This also sets up the firm distinction between the kingdom of God versus the kingdoms of the world with their conflicting ethics.</w:t>
      </w:r>
    </w:p>
    <w:p w14:paraId="57322E40" w14:textId="77777777" w:rsidR="005E23AC" w:rsidRPr="000D5CB8" w:rsidRDefault="005E23AC" w:rsidP="000D5CB8">
      <w:pPr>
        <w:rPr>
          <w:rFonts w:asciiTheme="majorHAnsi" w:eastAsia="Times New Roman" w:hAnsiTheme="majorHAnsi" w:cstheme="majorHAnsi"/>
        </w:rPr>
      </w:pPr>
    </w:p>
    <w:p w14:paraId="3B253A7F" w14:textId="77777777" w:rsidR="005E23AC" w:rsidRPr="000D5CB8" w:rsidRDefault="005E23AC" w:rsidP="000D5CB8">
      <w:pPr>
        <w:rPr>
          <w:rFonts w:asciiTheme="majorHAnsi" w:eastAsia="Times New Roman" w:hAnsiTheme="majorHAnsi" w:cstheme="majorHAnsi"/>
        </w:rPr>
      </w:pPr>
    </w:p>
    <w:p w14:paraId="1E41ED89" w14:textId="77777777" w:rsidR="005E23AC" w:rsidRPr="000D5CB8" w:rsidRDefault="005E23AC" w:rsidP="000D5CB8">
      <w:pPr>
        <w:rPr>
          <w:rFonts w:asciiTheme="majorHAnsi" w:eastAsia="Times New Roman" w:hAnsiTheme="majorHAnsi" w:cstheme="majorHAnsi"/>
        </w:rPr>
      </w:pPr>
    </w:p>
    <w:p w14:paraId="62425A9D" w14:textId="77777777" w:rsidR="005E23AC" w:rsidRPr="000D5CB8" w:rsidRDefault="005E23AC" w:rsidP="000D5CB8">
      <w:pPr>
        <w:rPr>
          <w:rFonts w:asciiTheme="majorHAnsi" w:eastAsia="Times New Roman" w:hAnsiTheme="majorHAnsi" w:cstheme="majorHAnsi"/>
        </w:rPr>
      </w:pPr>
    </w:p>
    <w:p w14:paraId="269B1B91" w14:textId="77777777" w:rsidR="005E23AC" w:rsidRPr="000D5CB8" w:rsidRDefault="005E23AC" w:rsidP="000D5CB8">
      <w:pPr>
        <w:rPr>
          <w:rFonts w:asciiTheme="majorHAnsi" w:eastAsia="Times New Roman" w:hAnsiTheme="majorHAnsi" w:cstheme="majorHAnsi"/>
        </w:rPr>
      </w:pPr>
    </w:p>
    <w:p w14:paraId="277D5E0C" w14:textId="77777777" w:rsidR="005E23AC" w:rsidRPr="000D5CB8" w:rsidRDefault="005E23AC" w:rsidP="000D5CB8">
      <w:pPr>
        <w:rPr>
          <w:rFonts w:asciiTheme="majorHAnsi" w:eastAsia="Times New Roman" w:hAnsiTheme="majorHAnsi" w:cstheme="majorHAnsi"/>
        </w:rPr>
      </w:pPr>
    </w:p>
    <w:p w14:paraId="0F8DBA12" w14:textId="77777777" w:rsidR="005E23AC" w:rsidRPr="000D5CB8" w:rsidRDefault="005E23AC" w:rsidP="000D5CB8">
      <w:pPr>
        <w:rPr>
          <w:rFonts w:asciiTheme="majorHAnsi" w:eastAsia="Times New Roman" w:hAnsiTheme="majorHAnsi" w:cstheme="majorHAnsi"/>
        </w:rPr>
      </w:pPr>
    </w:p>
    <w:p w14:paraId="4B27F17F" w14:textId="77777777" w:rsidR="005E23AC" w:rsidRPr="000D5CB8" w:rsidRDefault="006A3099" w:rsidP="000D5CB8">
      <w:pPr>
        <w:numPr>
          <w:ilvl w:val="1"/>
          <w:numId w:val="1"/>
        </w:numPr>
        <w:pBdr>
          <w:top w:val="nil"/>
          <w:left w:val="nil"/>
          <w:bottom w:val="nil"/>
          <w:right w:val="nil"/>
          <w:between w:val="nil"/>
        </w:pBdr>
        <w:jc w:val="center"/>
        <w:rPr>
          <w:rFonts w:asciiTheme="majorHAnsi" w:eastAsia="Times New Roman" w:hAnsiTheme="majorHAnsi" w:cstheme="majorHAnsi"/>
          <w:b/>
          <w:color w:val="000000"/>
        </w:rPr>
      </w:pPr>
      <w:r w:rsidRPr="000D5CB8">
        <w:rPr>
          <w:rFonts w:asciiTheme="majorHAnsi" w:eastAsia="Times New Roman" w:hAnsiTheme="majorHAnsi" w:cstheme="majorHAnsi"/>
          <w:b/>
          <w:color w:val="000000"/>
        </w:rPr>
        <w:lastRenderedPageBreak/>
        <w:t>Research Process</w:t>
      </w:r>
    </w:p>
    <w:p w14:paraId="56686E60" w14:textId="77777777" w:rsidR="005E23AC" w:rsidRPr="000D5CB8" w:rsidRDefault="005E23AC" w:rsidP="000D5CB8">
      <w:pPr>
        <w:rPr>
          <w:rFonts w:asciiTheme="majorHAnsi" w:eastAsia="Times New Roman" w:hAnsiTheme="majorHAnsi" w:cstheme="majorHAnsi"/>
          <w:b/>
        </w:rPr>
      </w:pPr>
    </w:p>
    <w:p w14:paraId="7F5F3F86" w14:textId="77777777" w:rsidR="005E23AC" w:rsidRPr="000D5CB8" w:rsidRDefault="005E23AC" w:rsidP="000D5CB8">
      <w:pPr>
        <w:pBdr>
          <w:top w:val="nil"/>
          <w:left w:val="nil"/>
          <w:bottom w:val="nil"/>
          <w:right w:val="nil"/>
          <w:between w:val="nil"/>
        </w:pBdr>
        <w:ind w:left="360"/>
        <w:rPr>
          <w:rFonts w:asciiTheme="majorHAnsi" w:eastAsia="Times New Roman" w:hAnsiTheme="majorHAnsi" w:cstheme="majorHAnsi"/>
          <w:b/>
          <w:color w:val="000000"/>
        </w:rPr>
      </w:pPr>
    </w:p>
    <w:p w14:paraId="0414F20B" w14:textId="77777777" w:rsidR="005E23AC" w:rsidRPr="000D5CB8" w:rsidRDefault="006A3099" w:rsidP="000D5CB8">
      <w:pPr>
        <w:numPr>
          <w:ilvl w:val="2"/>
          <w:numId w:val="1"/>
        </w:numPr>
        <w:pBdr>
          <w:top w:val="nil"/>
          <w:left w:val="nil"/>
          <w:bottom w:val="nil"/>
          <w:right w:val="nil"/>
          <w:between w:val="nil"/>
        </w:pBdr>
        <w:rPr>
          <w:rFonts w:asciiTheme="majorHAnsi" w:eastAsia="Times New Roman" w:hAnsiTheme="majorHAnsi" w:cstheme="majorHAnsi"/>
          <w:i/>
          <w:color w:val="000000"/>
        </w:rPr>
      </w:pPr>
      <w:r w:rsidRPr="000D5CB8">
        <w:rPr>
          <w:rFonts w:asciiTheme="majorHAnsi" w:eastAsia="Times New Roman" w:hAnsiTheme="majorHAnsi" w:cstheme="majorHAnsi"/>
          <w:i/>
          <w:color w:val="000000"/>
        </w:rPr>
        <w:t>Research Questions</w:t>
      </w:r>
    </w:p>
    <w:p w14:paraId="329634F0" w14:textId="77777777" w:rsidR="005E23AC" w:rsidRPr="000D5CB8" w:rsidRDefault="005E23AC" w:rsidP="000D5CB8">
      <w:pPr>
        <w:rPr>
          <w:rFonts w:asciiTheme="majorHAnsi" w:eastAsia="Times New Roman" w:hAnsiTheme="majorHAnsi" w:cstheme="majorHAnsi"/>
          <w:i/>
        </w:rPr>
      </w:pPr>
    </w:p>
    <w:p w14:paraId="4779A3B8" w14:textId="77777777" w:rsidR="005E23AC" w:rsidRPr="000D5CB8" w:rsidRDefault="005E23AC" w:rsidP="000D5CB8">
      <w:pPr>
        <w:rPr>
          <w:rFonts w:asciiTheme="majorHAnsi" w:eastAsia="Times New Roman" w:hAnsiTheme="majorHAnsi" w:cstheme="majorHAnsi"/>
          <w:i/>
        </w:rPr>
      </w:pPr>
    </w:p>
    <w:p w14:paraId="208A9D17"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Taking note of the current scholarship in the areas of these texts, the Deuteronomy 32 Worldview will be applied as a framework to work through Romans 13:1-7, 1 Peter 2:13-17, and Revelation 13. To explore the thesis of the Deuteronomy 32 Worldview framework we must first determine whether 1) the Deuteronomy 32 Worldview is indeed a dominant Biblical theme and 2) a unifying theme or worldview within Romans, 1 Peter, and Revelation. </w:t>
      </w:r>
    </w:p>
    <w:p w14:paraId="00B94DA2"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These major research questions then break down into subordinate questions which overlap with the methodology below. It must be asked if the Deuteronomy 32 Worldview is a legitimate theme of the narrative in the Hebrew Scriptures and intertestamental literature. Then it must be asked how this theme is represented, especially in the rest of the New Testament. The question that then needs to be asked of Romans 13:1-7, 1 Peter 2:13-17, and Revelation 13 are: Do these authors use the framework that all empires outside of the kingdom of God are under the rulership and influence of the spiritual Powers? Then the question of Christian response must be asked; do Christians live in obedience to empire (Romans 13 and 1 Peter 2)? Where is the line drawn (only a “good” empire or are all empires/governments/states inherently evil)? Or should Christians be totally separate from all systems of the world if they are ruled by the Powers?  Some other questions we must examine are that the face value readings of these three texts seem to present conflicting views of empire; does the Christian view of empire change over the course of the New Testament from Romans to Revelation? Does a socio-rhetorical and contextual examination of these texts help to show continuity, where a systematic approach fails to? </w:t>
      </w:r>
    </w:p>
    <w:p w14:paraId="5FE3DDE5" w14:textId="77777777" w:rsidR="005E23AC" w:rsidRPr="000D5CB8" w:rsidRDefault="005E23AC" w:rsidP="000D5CB8">
      <w:pPr>
        <w:rPr>
          <w:rFonts w:asciiTheme="majorHAnsi" w:eastAsia="Times New Roman" w:hAnsiTheme="majorHAnsi" w:cstheme="majorHAnsi"/>
        </w:rPr>
      </w:pPr>
    </w:p>
    <w:p w14:paraId="43C4942D" w14:textId="77777777" w:rsidR="005E23AC" w:rsidRPr="000D5CB8" w:rsidRDefault="006A3099" w:rsidP="000D5CB8">
      <w:pPr>
        <w:numPr>
          <w:ilvl w:val="1"/>
          <w:numId w:val="1"/>
        </w:numPr>
        <w:pBdr>
          <w:top w:val="nil"/>
          <w:left w:val="nil"/>
          <w:bottom w:val="nil"/>
          <w:right w:val="nil"/>
          <w:between w:val="nil"/>
        </w:pBdr>
        <w:jc w:val="center"/>
        <w:rPr>
          <w:rFonts w:asciiTheme="majorHAnsi" w:eastAsia="Times New Roman" w:hAnsiTheme="majorHAnsi" w:cstheme="majorHAnsi"/>
          <w:b/>
          <w:color w:val="000000"/>
        </w:rPr>
      </w:pPr>
      <w:r w:rsidRPr="000D5CB8">
        <w:rPr>
          <w:rFonts w:asciiTheme="majorHAnsi" w:eastAsia="Times New Roman" w:hAnsiTheme="majorHAnsi" w:cstheme="majorHAnsi"/>
          <w:b/>
          <w:color w:val="000000"/>
        </w:rPr>
        <w:t>Methodology and Assumptions</w:t>
      </w:r>
    </w:p>
    <w:p w14:paraId="67755C8F" w14:textId="77777777" w:rsidR="005E23AC" w:rsidRPr="000D5CB8" w:rsidRDefault="005E23AC" w:rsidP="000D5CB8">
      <w:pPr>
        <w:pBdr>
          <w:top w:val="nil"/>
          <w:left w:val="nil"/>
          <w:bottom w:val="nil"/>
          <w:right w:val="nil"/>
          <w:between w:val="nil"/>
        </w:pBdr>
        <w:ind w:left="360"/>
        <w:rPr>
          <w:rFonts w:asciiTheme="majorHAnsi" w:eastAsia="Times New Roman" w:hAnsiTheme="majorHAnsi" w:cstheme="majorHAnsi"/>
          <w:b/>
          <w:color w:val="000000"/>
        </w:rPr>
      </w:pPr>
    </w:p>
    <w:p w14:paraId="1C6CCE77" w14:textId="77777777" w:rsidR="005E23AC" w:rsidRPr="000D5CB8" w:rsidRDefault="006A3099" w:rsidP="000D5CB8">
      <w:pPr>
        <w:rPr>
          <w:rFonts w:asciiTheme="majorHAnsi" w:eastAsia="Times New Roman" w:hAnsiTheme="majorHAnsi" w:cstheme="majorHAnsi"/>
          <w:i/>
        </w:rPr>
      </w:pPr>
      <w:r w:rsidRPr="000D5CB8">
        <w:rPr>
          <w:rFonts w:asciiTheme="majorHAnsi" w:eastAsia="Times New Roman" w:hAnsiTheme="majorHAnsi" w:cstheme="majorHAnsi"/>
        </w:rPr>
        <w:t xml:space="preserve">1.3.1 </w:t>
      </w:r>
      <w:r w:rsidRPr="000D5CB8">
        <w:rPr>
          <w:rFonts w:asciiTheme="majorHAnsi" w:eastAsia="Times New Roman" w:hAnsiTheme="majorHAnsi" w:cstheme="majorHAnsi"/>
          <w:i/>
        </w:rPr>
        <w:t>Survey the Deuteronomy 32 Worldview of the Old Testament, Second Temple, and the New Testament</w:t>
      </w:r>
    </w:p>
    <w:p w14:paraId="15397005" w14:textId="77777777" w:rsidR="005E23AC" w:rsidRPr="000D5CB8" w:rsidRDefault="005E23AC" w:rsidP="000D5CB8">
      <w:pPr>
        <w:rPr>
          <w:rFonts w:asciiTheme="majorHAnsi" w:eastAsia="Times New Roman" w:hAnsiTheme="majorHAnsi" w:cstheme="majorHAnsi"/>
          <w:i/>
        </w:rPr>
      </w:pPr>
    </w:p>
    <w:p w14:paraId="578B198D" w14:textId="77777777" w:rsidR="005E23AC" w:rsidRPr="000D5CB8" w:rsidRDefault="005E23AC" w:rsidP="000D5CB8">
      <w:pPr>
        <w:rPr>
          <w:rFonts w:asciiTheme="majorHAnsi" w:eastAsia="Times New Roman" w:hAnsiTheme="majorHAnsi" w:cstheme="majorHAnsi"/>
          <w:i/>
        </w:rPr>
      </w:pPr>
    </w:p>
    <w:p w14:paraId="0E6016BC"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i/>
        </w:rPr>
        <w:tab/>
      </w:r>
      <w:r w:rsidRPr="000D5CB8">
        <w:rPr>
          <w:rFonts w:asciiTheme="majorHAnsi" w:eastAsia="Times New Roman" w:hAnsiTheme="majorHAnsi" w:cstheme="majorHAnsi"/>
        </w:rPr>
        <w:t xml:space="preserve">We will start this study by investigating the foundation of the framework that we’ll be using which is the Deuteronomy 32 Worldview in the Old Testament. This will be the topic of chapter 2. Most of this project will be completed with concordance work and cross references, examining where this theme is mentioned and especially as it pertains to God’s people and those who are not His people. The purpose of this project is not only to find the references to the Deuteronomy 32 worldview, but also to establish that the Deuteronomy 32 Worldview is a pivotal part of theology that should be applied to the Biblical narrative and interpretation of Scripture. </w:t>
      </w:r>
    </w:p>
    <w:p w14:paraId="1754DBFA"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Within this examination of the Old Testament framework, we’ll also see whether it was held during the second temple period and if it influenced the thought and worldview of second temple Jews. By determining the worldview of the period regarding the Deuteronomy 32 Worldview we can more confidently approach the New Testament period with data points that show a clear connection to this concept in the Old Testament.  </w:t>
      </w:r>
    </w:p>
    <w:p w14:paraId="2D87C9B5"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The final part of our foundation will be to confirm that the Deuteronomy 32 Worldview is present in the New Testament. We will examine how the biblical authors of the New Testament were influenced by and use this Biblical theme when they talk about the Principalities and Powers and how God’s people relate to the world because of it. This entire survey will set the foundation and determination for the remaining examination that will ensue on the texts regarding submission and conflict with the empire. </w:t>
      </w:r>
    </w:p>
    <w:p w14:paraId="4D51EDF5" w14:textId="77777777" w:rsidR="005E23AC" w:rsidRPr="000D5CB8" w:rsidRDefault="005E23AC" w:rsidP="000D5CB8">
      <w:pPr>
        <w:rPr>
          <w:rFonts w:asciiTheme="majorHAnsi" w:eastAsia="Times New Roman" w:hAnsiTheme="majorHAnsi" w:cstheme="majorHAnsi"/>
        </w:rPr>
      </w:pPr>
    </w:p>
    <w:p w14:paraId="5B22BB99" w14:textId="77777777" w:rsidR="005E23AC" w:rsidRPr="000D5CB8" w:rsidRDefault="006A3099" w:rsidP="000D5CB8">
      <w:pPr>
        <w:rPr>
          <w:rFonts w:asciiTheme="majorHAnsi" w:eastAsia="Times New Roman" w:hAnsiTheme="majorHAnsi" w:cstheme="majorHAnsi"/>
          <w:i/>
        </w:rPr>
      </w:pPr>
      <w:r w:rsidRPr="000D5CB8">
        <w:rPr>
          <w:rFonts w:asciiTheme="majorHAnsi" w:eastAsia="Times New Roman" w:hAnsiTheme="majorHAnsi" w:cstheme="majorHAnsi"/>
        </w:rPr>
        <w:lastRenderedPageBreak/>
        <w:t xml:space="preserve">1.3.2 </w:t>
      </w:r>
      <w:r w:rsidRPr="000D5CB8">
        <w:rPr>
          <w:rFonts w:asciiTheme="majorHAnsi" w:eastAsia="Times New Roman" w:hAnsiTheme="majorHAnsi" w:cstheme="majorHAnsi"/>
          <w:i/>
        </w:rPr>
        <w:t>Compare the Major New Testament Passages on Submission to Worldly Authority</w:t>
      </w:r>
    </w:p>
    <w:p w14:paraId="5E83D67D" w14:textId="77777777" w:rsidR="005E23AC" w:rsidRPr="000D5CB8" w:rsidRDefault="005E23AC" w:rsidP="000D5CB8">
      <w:pPr>
        <w:rPr>
          <w:rFonts w:asciiTheme="majorHAnsi" w:eastAsia="Times New Roman" w:hAnsiTheme="majorHAnsi" w:cstheme="majorHAnsi"/>
          <w:i/>
        </w:rPr>
      </w:pPr>
    </w:p>
    <w:p w14:paraId="02C8678F" w14:textId="77777777" w:rsidR="005E23AC" w:rsidRPr="000D5CB8" w:rsidRDefault="005E23AC" w:rsidP="000D5CB8">
      <w:pPr>
        <w:rPr>
          <w:rFonts w:asciiTheme="majorHAnsi" w:eastAsia="Times New Roman" w:hAnsiTheme="majorHAnsi" w:cstheme="majorHAnsi"/>
          <w:i/>
        </w:rPr>
      </w:pPr>
    </w:p>
    <w:p w14:paraId="5D398CE0"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i/>
        </w:rPr>
        <w:tab/>
      </w:r>
      <w:r w:rsidRPr="000D5CB8">
        <w:rPr>
          <w:rFonts w:asciiTheme="majorHAnsi" w:eastAsia="Times New Roman" w:hAnsiTheme="majorHAnsi" w:cstheme="majorHAnsi"/>
        </w:rPr>
        <w:t xml:space="preserve">After the framework has been shown and </w:t>
      </w:r>
      <w:proofErr w:type="gramStart"/>
      <w:r w:rsidRPr="000D5CB8">
        <w:rPr>
          <w:rFonts w:asciiTheme="majorHAnsi" w:eastAsia="Times New Roman" w:hAnsiTheme="majorHAnsi" w:cstheme="majorHAnsi"/>
        </w:rPr>
        <w:t>examined</w:t>
      </w:r>
      <w:proofErr w:type="gramEnd"/>
      <w:r w:rsidRPr="000D5CB8">
        <w:rPr>
          <w:rFonts w:asciiTheme="majorHAnsi" w:eastAsia="Times New Roman" w:hAnsiTheme="majorHAnsi" w:cstheme="majorHAnsi"/>
        </w:rPr>
        <w:t xml:space="preserve"> we can address the passages of study: Romans 13:1-7, 1 Peter 2:13-17, and Revelation 13. We will explore these passages within their world using the socio-rhetorical method, explained below, by looking at the textures of the text and seeing at how they exist within a Deuteronomy 32 Worldview. We will explore the research questions above within these texts and determine whether they can be unified within a Deuteronomy 32 Worldview and then explore the Biblical view of empire in these texts and thus determine how we should view the Principalities and Powers today. </w:t>
      </w:r>
    </w:p>
    <w:p w14:paraId="03DE4280" w14:textId="77777777" w:rsidR="005E23AC" w:rsidRPr="000D5CB8" w:rsidRDefault="005E23AC" w:rsidP="000D5CB8">
      <w:pPr>
        <w:rPr>
          <w:rFonts w:asciiTheme="majorHAnsi" w:eastAsia="Times New Roman" w:hAnsiTheme="majorHAnsi" w:cstheme="majorHAnsi"/>
        </w:rPr>
      </w:pPr>
    </w:p>
    <w:p w14:paraId="00A9D9CF" w14:textId="77777777" w:rsidR="005E23AC" w:rsidRPr="000D5CB8" w:rsidRDefault="006A3099" w:rsidP="000D5CB8">
      <w:pPr>
        <w:rPr>
          <w:rFonts w:asciiTheme="majorHAnsi" w:eastAsia="Times New Roman" w:hAnsiTheme="majorHAnsi" w:cstheme="majorHAnsi"/>
          <w:i/>
        </w:rPr>
      </w:pPr>
      <w:r w:rsidRPr="000D5CB8">
        <w:rPr>
          <w:rFonts w:asciiTheme="majorHAnsi" w:eastAsia="Times New Roman" w:hAnsiTheme="majorHAnsi" w:cstheme="majorHAnsi"/>
        </w:rPr>
        <w:t xml:space="preserve">1.3.3 </w:t>
      </w:r>
      <w:r w:rsidRPr="000D5CB8">
        <w:rPr>
          <w:rFonts w:asciiTheme="majorHAnsi" w:eastAsia="Times New Roman" w:hAnsiTheme="majorHAnsi" w:cstheme="majorHAnsi"/>
          <w:i/>
        </w:rPr>
        <w:t>Socio-Rhetorical Exegesis</w:t>
      </w:r>
    </w:p>
    <w:p w14:paraId="0F157B3F" w14:textId="77777777" w:rsidR="005E23AC" w:rsidRPr="000D5CB8" w:rsidRDefault="005E23AC" w:rsidP="000D5CB8">
      <w:pPr>
        <w:ind w:firstLine="720"/>
        <w:rPr>
          <w:rFonts w:asciiTheme="majorHAnsi" w:eastAsia="Times New Roman" w:hAnsiTheme="majorHAnsi" w:cstheme="majorHAnsi"/>
        </w:rPr>
      </w:pPr>
    </w:p>
    <w:p w14:paraId="4625D756"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A socio-rhetorical interpretation will be the methodology for exegesis used in this dissertation. It will help us arrive aligned within the worldview of the first century world and what the original audience would have understood as the meaning of the text. This method emerged by Vernon Robbins, as a multi-dimensional interpretive method in his 1996 guide to socio-rhetorical criticism, </w:t>
      </w:r>
      <w:r w:rsidRPr="000D5CB8">
        <w:rPr>
          <w:rFonts w:asciiTheme="majorHAnsi" w:eastAsia="Times New Roman" w:hAnsiTheme="majorHAnsi" w:cstheme="majorHAnsi"/>
          <w:i/>
        </w:rPr>
        <w:t xml:space="preserve">Exploring the Textures of the Text, </w:t>
      </w:r>
      <w:r w:rsidRPr="000D5CB8">
        <w:rPr>
          <w:rFonts w:asciiTheme="majorHAnsi" w:eastAsia="Times New Roman" w:hAnsiTheme="majorHAnsi" w:cstheme="majorHAnsi"/>
        </w:rPr>
        <w:t>focused on “integration of rhetorical, anthropological, and social-psychological insights.”</w:t>
      </w:r>
      <w:r w:rsidRPr="000D5CB8">
        <w:rPr>
          <w:rFonts w:asciiTheme="majorHAnsi" w:eastAsia="Times New Roman" w:hAnsiTheme="majorHAnsi" w:cstheme="majorHAnsi"/>
          <w:vertAlign w:val="superscript"/>
        </w:rPr>
        <w:footnoteReference w:id="71"/>
      </w:r>
    </w:p>
    <w:p w14:paraId="34C2CD1B"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Socio-rhetorical exegesis uses five different angles to investigate multiple textures within a text of Scripture. These five textures of the text are: </w:t>
      </w:r>
      <w:r w:rsidRPr="000D5CB8">
        <w:rPr>
          <w:rFonts w:asciiTheme="majorHAnsi" w:eastAsia="Times New Roman" w:hAnsiTheme="majorHAnsi" w:cstheme="majorHAnsi"/>
          <w:i/>
        </w:rPr>
        <w:t>1) inner texture, 2) intertexture, 3) social and cultural texture, 4) ideological texture, and 5) sacred texture</w:t>
      </w:r>
      <w:r w:rsidRPr="000D5CB8">
        <w:rPr>
          <w:rFonts w:asciiTheme="majorHAnsi" w:eastAsia="Times New Roman" w:hAnsiTheme="majorHAnsi" w:cstheme="majorHAnsi"/>
        </w:rPr>
        <w:t>.</w:t>
      </w:r>
      <w:r w:rsidRPr="000D5CB8">
        <w:rPr>
          <w:rFonts w:asciiTheme="majorHAnsi" w:eastAsia="Times New Roman" w:hAnsiTheme="majorHAnsi" w:cstheme="majorHAnsi"/>
          <w:vertAlign w:val="superscript"/>
        </w:rPr>
        <w:footnoteReference w:id="72"/>
      </w:r>
      <w:r w:rsidRPr="000D5CB8">
        <w:rPr>
          <w:rFonts w:asciiTheme="majorHAnsi" w:eastAsia="Times New Roman" w:hAnsiTheme="majorHAnsi" w:cstheme="majorHAnsi"/>
        </w:rPr>
        <w:t xml:space="preserve"> </w:t>
      </w:r>
      <w:r w:rsidRPr="000D5CB8">
        <w:rPr>
          <w:rFonts w:asciiTheme="majorHAnsi" w:eastAsia="Times New Roman" w:hAnsiTheme="majorHAnsi" w:cstheme="majorHAnsi"/>
        </w:rPr>
        <w:tab/>
      </w:r>
    </w:p>
    <w:p w14:paraId="30435249"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The inner texture of the text features an examination of the words on the page. It looks for repetition, beginnings and endings, speech, and storytelling, and the “feel” of the text.</w:t>
      </w:r>
      <w:r w:rsidRPr="000D5CB8">
        <w:rPr>
          <w:rFonts w:asciiTheme="majorHAnsi" w:eastAsia="Times New Roman" w:hAnsiTheme="majorHAnsi" w:cstheme="majorHAnsi"/>
          <w:vertAlign w:val="superscript"/>
        </w:rPr>
        <w:footnoteReference w:id="73"/>
      </w:r>
      <w:r w:rsidRPr="000D5CB8">
        <w:rPr>
          <w:rFonts w:asciiTheme="majorHAnsi" w:eastAsia="Times New Roman" w:hAnsiTheme="majorHAnsi" w:cstheme="majorHAnsi"/>
        </w:rPr>
        <w:t xml:space="preserve"> The concentration here is on literary and rhetorical criticism, which means we must look at the structure of the words and the emphasis of the author without our biases and do this within their worldview and with their definitions of words and persuasions.  </w:t>
      </w:r>
    </w:p>
    <w:p w14:paraId="21B88D51"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The intertexture is an examination of the world of the text and the conversation that exists or may exist between the texts available </w:t>
      </w:r>
      <w:proofErr w:type="gramStart"/>
      <w:r w:rsidRPr="000D5CB8">
        <w:rPr>
          <w:rFonts w:asciiTheme="majorHAnsi" w:eastAsia="Times New Roman" w:hAnsiTheme="majorHAnsi" w:cstheme="majorHAnsi"/>
        </w:rPr>
        <w:t>in</w:t>
      </w:r>
      <w:proofErr w:type="gramEnd"/>
      <w:r w:rsidRPr="000D5CB8">
        <w:rPr>
          <w:rFonts w:asciiTheme="majorHAnsi" w:eastAsia="Times New Roman" w:hAnsiTheme="majorHAnsi" w:cstheme="majorHAnsi"/>
        </w:rPr>
        <w:t xml:space="preserve"> the day of the author.</w:t>
      </w:r>
      <w:r w:rsidRPr="000D5CB8">
        <w:rPr>
          <w:rFonts w:asciiTheme="majorHAnsi" w:eastAsia="Times New Roman" w:hAnsiTheme="majorHAnsi" w:cstheme="majorHAnsi"/>
          <w:vertAlign w:val="superscript"/>
        </w:rPr>
        <w:footnoteReference w:id="74"/>
      </w:r>
      <w:r w:rsidRPr="000D5CB8">
        <w:rPr>
          <w:rFonts w:asciiTheme="majorHAnsi" w:eastAsia="Times New Roman" w:hAnsiTheme="majorHAnsi" w:cstheme="majorHAnsi"/>
        </w:rPr>
        <w:t xml:space="preserve"> It contains the oral-scribal use of texts in the daily speech of the first century and events in history that play a part in the interpretation of the text.</w:t>
      </w:r>
      <w:r w:rsidRPr="000D5CB8">
        <w:rPr>
          <w:rFonts w:asciiTheme="majorHAnsi" w:eastAsia="Times New Roman" w:hAnsiTheme="majorHAnsi" w:cstheme="majorHAnsi"/>
          <w:vertAlign w:val="superscript"/>
        </w:rPr>
        <w:footnoteReference w:id="75"/>
      </w:r>
      <w:r w:rsidRPr="000D5CB8">
        <w:rPr>
          <w:rFonts w:asciiTheme="majorHAnsi" w:eastAsia="Times New Roman" w:hAnsiTheme="majorHAnsi" w:cstheme="majorHAnsi"/>
        </w:rPr>
        <w:t xml:space="preserve"> </w:t>
      </w:r>
    </w:p>
    <w:p w14:paraId="40122B40"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The social and cultural texture is about the world of the text and the social culture behind it. Robbins explains the texture this way:</w:t>
      </w:r>
    </w:p>
    <w:p w14:paraId="14121364" w14:textId="77777777" w:rsidR="005E23AC" w:rsidRPr="000D5CB8" w:rsidRDefault="006A3099" w:rsidP="000D5CB8">
      <w:pPr>
        <w:ind w:left="720" w:right="720"/>
        <w:jc w:val="both"/>
        <w:rPr>
          <w:rFonts w:asciiTheme="majorHAnsi" w:eastAsia="Times New Roman" w:hAnsiTheme="majorHAnsi" w:cstheme="majorHAnsi"/>
        </w:rPr>
      </w:pPr>
      <w:r w:rsidRPr="000D5CB8">
        <w:rPr>
          <w:rFonts w:asciiTheme="majorHAnsi" w:eastAsia="Times New Roman" w:hAnsiTheme="majorHAnsi" w:cstheme="majorHAnsi"/>
        </w:rPr>
        <w:t>The social and cultural texture of the text emerges in specific social topics, common social and cultural topics, and final cultural categories. Specific social topics in the text reveal the religious responses to the world in its discourse… Analysis and interpretation of the common social and cultural topics in the text may take an interpreter his or her presuppositions into the foreign social and cultural world of the text. When this happens a deeper level of the social and cultural texture of the text begins to emerge as well as a clearer understanding of the implications in the text about living a committed religious life in the world.</w:t>
      </w:r>
      <w:r w:rsidRPr="000D5CB8">
        <w:rPr>
          <w:rFonts w:asciiTheme="majorHAnsi" w:eastAsia="Times New Roman" w:hAnsiTheme="majorHAnsi" w:cstheme="majorHAnsi"/>
          <w:vertAlign w:val="superscript"/>
        </w:rPr>
        <w:footnoteReference w:id="76"/>
      </w:r>
    </w:p>
    <w:p w14:paraId="147E8E57" w14:textId="77777777" w:rsidR="005E23AC" w:rsidRPr="000D5CB8" w:rsidRDefault="005E23AC" w:rsidP="000D5CB8">
      <w:pPr>
        <w:ind w:left="720" w:right="720"/>
        <w:jc w:val="both"/>
        <w:rPr>
          <w:rFonts w:asciiTheme="majorHAnsi" w:eastAsia="Times New Roman" w:hAnsiTheme="majorHAnsi" w:cstheme="majorHAnsi"/>
        </w:rPr>
      </w:pPr>
    </w:p>
    <w:p w14:paraId="56275D1F" w14:textId="77777777" w:rsidR="005E23AC" w:rsidRPr="000D5CB8" w:rsidRDefault="006A3099" w:rsidP="000D5CB8">
      <w:pPr>
        <w:ind w:right="720"/>
        <w:rPr>
          <w:rFonts w:asciiTheme="majorHAnsi" w:eastAsia="Times New Roman" w:hAnsiTheme="majorHAnsi" w:cstheme="majorHAnsi"/>
        </w:rPr>
      </w:pPr>
      <w:r w:rsidRPr="000D5CB8">
        <w:rPr>
          <w:rFonts w:asciiTheme="majorHAnsi" w:eastAsia="Times New Roman" w:hAnsiTheme="majorHAnsi" w:cstheme="majorHAnsi"/>
        </w:rPr>
        <w:lastRenderedPageBreak/>
        <w:t>The sociocultural texture is multifaceted and helps us understand the world where communal values outweigh individualism, where family and villages bind, patronage and correct understanding of ancient gift giving are the economy, and where honor and shame are the core cultural values.</w:t>
      </w:r>
      <w:r w:rsidRPr="000D5CB8">
        <w:rPr>
          <w:rFonts w:asciiTheme="majorHAnsi" w:eastAsia="Times New Roman" w:hAnsiTheme="majorHAnsi" w:cstheme="majorHAnsi"/>
          <w:vertAlign w:val="superscript"/>
        </w:rPr>
        <w:footnoteReference w:id="77"/>
      </w:r>
      <w:r w:rsidRPr="000D5CB8">
        <w:rPr>
          <w:rFonts w:asciiTheme="majorHAnsi" w:eastAsia="Times New Roman" w:hAnsiTheme="majorHAnsi" w:cstheme="majorHAnsi"/>
        </w:rPr>
        <w:t xml:space="preserve"> </w:t>
      </w:r>
    </w:p>
    <w:p w14:paraId="3F2C4CF9"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The ideological texture “asks the interpreter to recognize that the text is not just a vehicle for ideas, but rather a vehicle by which the author hopes to achieve a certain goal.”</w:t>
      </w:r>
      <w:r w:rsidRPr="000D5CB8">
        <w:rPr>
          <w:rFonts w:asciiTheme="majorHAnsi" w:eastAsia="Times New Roman" w:hAnsiTheme="majorHAnsi" w:cstheme="majorHAnsi"/>
          <w:vertAlign w:val="superscript"/>
        </w:rPr>
        <w:t xml:space="preserve"> </w:t>
      </w:r>
      <w:r w:rsidRPr="000D5CB8">
        <w:rPr>
          <w:rFonts w:asciiTheme="majorHAnsi" w:eastAsia="Times New Roman" w:hAnsiTheme="majorHAnsi" w:cstheme="majorHAnsi"/>
          <w:vertAlign w:val="superscript"/>
        </w:rPr>
        <w:footnoteReference w:id="78"/>
      </w:r>
      <w:r w:rsidRPr="000D5CB8">
        <w:rPr>
          <w:rFonts w:asciiTheme="majorHAnsi" w:eastAsia="Times New Roman" w:hAnsiTheme="majorHAnsi" w:cstheme="majorHAnsi"/>
        </w:rPr>
        <w:t xml:space="preserve"> The issue is not just how the language of a text works but also how it works with or against individuals and groups.</w:t>
      </w:r>
      <w:r w:rsidRPr="000D5CB8">
        <w:rPr>
          <w:rFonts w:asciiTheme="majorHAnsi" w:eastAsia="Times New Roman" w:hAnsiTheme="majorHAnsi" w:cstheme="majorHAnsi"/>
          <w:vertAlign w:val="superscript"/>
        </w:rPr>
        <w:footnoteReference w:id="79"/>
      </w:r>
      <w:r w:rsidRPr="000D5CB8">
        <w:rPr>
          <w:rFonts w:asciiTheme="majorHAnsi" w:eastAsia="Times New Roman" w:hAnsiTheme="majorHAnsi" w:cstheme="majorHAnsi"/>
        </w:rPr>
        <w:t xml:space="preserve"> A definition of ideology is “an integrated system of beliefs, assumptions, and values that reflects the needs and interests of a group or class at a particular time in history.”</w:t>
      </w:r>
      <w:r w:rsidRPr="000D5CB8">
        <w:rPr>
          <w:rFonts w:asciiTheme="majorHAnsi" w:eastAsia="Times New Roman" w:hAnsiTheme="majorHAnsi" w:cstheme="majorHAnsi"/>
          <w:vertAlign w:val="superscript"/>
        </w:rPr>
        <w:footnoteReference w:id="80"/>
      </w:r>
      <w:r w:rsidRPr="000D5CB8">
        <w:rPr>
          <w:rFonts w:asciiTheme="majorHAnsi" w:eastAsia="Times New Roman" w:hAnsiTheme="majorHAnsi" w:cstheme="majorHAnsi"/>
        </w:rPr>
        <w:t xml:space="preserve"> This is how we should read the text based on the author’s biases and not based on our own systems. </w:t>
      </w:r>
    </w:p>
    <w:p w14:paraId="2191B6B7"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The sacred text addresses the relation of the human and the divine in the text.</w:t>
      </w:r>
      <w:r w:rsidRPr="000D5CB8">
        <w:rPr>
          <w:rFonts w:asciiTheme="majorHAnsi" w:eastAsia="Times New Roman" w:hAnsiTheme="majorHAnsi" w:cstheme="majorHAnsi"/>
          <w:vertAlign w:val="superscript"/>
        </w:rPr>
        <w:footnoteReference w:id="81"/>
      </w:r>
      <w:r w:rsidRPr="000D5CB8">
        <w:rPr>
          <w:rFonts w:asciiTheme="majorHAnsi" w:eastAsia="Times New Roman" w:hAnsiTheme="majorHAnsi" w:cstheme="majorHAnsi"/>
        </w:rPr>
        <w:t xml:space="preserve"> This acknowledges the religious dimension of the text and how they can contribute to the divine and ethical interpretation and reflection on the text.</w:t>
      </w:r>
      <w:r w:rsidRPr="000D5CB8">
        <w:rPr>
          <w:rFonts w:asciiTheme="majorHAnsi" w:eastAsia="Times New Roman" w:hAnsiTheme="majorHAnsi" w:cstheme="majorHAnsi"/>
          <w:vertAlign w:val="superscript"/>
        </w:rPr>
        <w:footnoteReference w:id="82"/>
      </w:r>
      <w:r w:rsidRPr="000D5CB8">
        <w:rPr>
          <w:rFonts w:asciiTheme="majorHAnsi" w:eastAsia="Times New Roman" w:hAnsiTheme="majorHAnsi" w:cstheme="majorHAnsi"/>
        </w:rPr>
        <w:t xml:space="preserve"> This part must ask, “what does this have to do with Jesus and how does that apply to us” that is, what it means to explore the sacred text of Scripture, to find the relation of the human life and the divine in the text.</w:t>
      </w:r>
      <w:r w:rsidRPr="000D5CB8">
        <w:rPr>
          <w:rFonts w:asciiTheme="majorHAnsi" w:eastAsia="Times New Roman" w:hAnsiTheme="majorHAnsi" w:cstheme="majorHAnsi"/>
          <w:vertAlign w:val="superscript"/>
        </w:rPr>
        <w:footnoteReference w:id="83"/>
      </w:r>
    </w:p>
    <w:p w14:paraId="6E1B3E2E"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David </w:t>
      </w:r>
      <w:proofErr w:type="spellStart"/>
      <w:r w:rsidRPr="000D5CB8">
        <w:rPr>
          <w:rFonts w:asciiTheme="majorHAnsi" w:eastAsia="Times New Roman" w:hAnsiTheme="majorHAnsi" w:cstheme="majorHAnsi"/>
        </w:rPr>
        <w:t>deSilva</w:t>
      </w:r>
      <w:proofErr w:type="spellEnd"/>
      <w:r w:rsidRPr="000D5CB8">
        <w:rPr>
          <w:rFonts w:asciiTheme="majorHAnsi" w:eastAsia="Times New Roman" w:hAnsiTheme="majorHAnsi" w:cstheme="majorHAnsi"/>
        </w:rPr>
        <w:t xml:space="preserve"> reflects on the socio-rhetorical method, stating that “socio-rhetorical interpretation may help bridge the gap between biblical studies and theology, between exegesis and hermeneutics.”</w:t>
      </w:r>
      <w:r w:rsidRPr="000D5CB8">
        <w:rPr>
          <w:rFonts w:asciiTheme="majorHAnsi" w:eastAsia="Times New Roman" w:hAnsiTheme="majorHAnsi" w:cstheme="majorHAnsi"/>
          <w:vertAlign w:val="superscript"/>
        </w:rPr>
        <w:footnoteReference w:id="84"/>
      </w:r>
      <w:r w:rsidRPr="000D5CB8">
        <w:rPr>
          <w:rFonts w:asciiTheme="majorHAnsi" w:eastAsia="Times New Roman" w:hAnsiTheme="majorHAnsi" w:cstheme="majorHAnsi"/>
        </w:rPr>
        <w:t xml:space="preserve"> These textures are important to finding meanings that might escape us as low context modern readers. This is because most are not familiar with these categories and as a result, they potentially miss what is being communicated to the original high context audience. By examining these concepts, considering the text of Scripture, we will find deeper and true meanings by interpreting the Bible on its own terms and in its own world. </w:t>
      </w:r>
      <w:r w:rsidRPr="000D5CB8">
        <w:rPr>
          <w:rFonts w:asciiTheme="majorHAnsi" w:eastAsia="Times New Roman" w:hAnsiTheme="majorHAnsi" w:cstheme="majorHAnsi"/>
          <w:vertAlign w:val="superscript"/>
        </w:rPr>
        <w:footnoteReference w:id="85"/>
      </w:r>
    </w:p>
    <w:p w14:paraId="262D514A" w14:textId="77777777" w:rsidR="005E23AC" w:rsidRPr="000D5CB8" w:rsidRDefault="005E23AC" w:rsidP="000D5CB8">
      <w:pPr>
        <w:ind w:firstLine="720"/>
        <w:rPr>
          <w:rFonts w:asciiTheme="majorHAnsi" w:eastAsia="Times New Roman" w:hAnsiTheme="majorHAnsi" w:cstheme="majorHAnsi"/>
        </w:rPr>
      </w:pPr>
    </w:p>
    <w:p w14:paraId="339450FC" w14:textId="77777777" w:rsidR="005E23AC" w:rsidRPr="000D5CB8" w:rsidRDefault="006A3099" w:rsidP="000D5CB8">
      <w:pPr>
        <w:rPr>
          <w:rFonts w:asciiTheme="majorHAnsi" w:eastAsia="Times New Roman" w:hAnsiTheme="majorHAnsi" w:cstheme="majorHAnsi"/>
          <w:i/>
        </w:rPr>
      </w:pPr>
      <w:r w:rsidRPr="000D5CB8">
        <w:rPr>
          <w:rFonts w:asciiTheme="majorHAnsi" w:eastAsia="Times New Roman" w:hAnsiTheme="majorHAnsi" w:cstheme="majorHAnsi"/>
        </w:rPr>
        <w:t xml:space="preserve">1.3.4 </w:t>
      </w:r>
      <w:r w:rsidRPr="000D5CB8">
        <w:rPr>
          <w:rFonts w:asciiTheme="majorHAnsi" w:eastAsia="Times New Roman" w:hAnsiTheme="majorHAnsi" w:cstheme="majorHAnsi"/>
          <w:i/>
        </w:rPr>
        <w:t xml:space="preserve">Interpretive Methods and Trajectories </w:t>
      </w:r>
    </w:p>
    <w:p w14:paraId="5BF3A9DD" w14:textId="77777777" w:rsidR="005E23AC" w:rsidRPr="000D5CB8" w:rsidRDefault="005E23AC" w:rsidP="000D5CB8">
      <w:pPr>
        <w:rPr>
          <w:rFonts w:asciiTheme="majorHAnsi" w:eastAsia="Times New Roman" w:hAnsiTheme="majorHAnsi" w:cstheme="majorHAnsi"/>
        </w:rPr>
      </w:pPr>
    </w:p>
    <w:p w14:paraId="2DC866B7"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The most reasonable interpretive trajectories of those listed above in 1.1 should be selected when approaching this study. This would be an interpretation that holds the whole Biblical witness, working within the entire lens of Scripture without contradiction in the Biblical narrative. </w:t>
      </w:r>
      <w:r w:rsidRPr="000D5CB8">
        <w:rPr>
          <w:rFonts w:asciiTheme="majorHAnsi" w:eastAsia="Times New Roman" w:hAnsiTheme="majorHAnsi" w:cstheme="majorHAnsi"/>
          <w:i/>
        </w:rPr>
        <w:t>Two Kingdoms</w:t>
      </w:r>
      <w:r w:rsidRPr="000D5CB8">
        <w:rPr>
          <w:rFonts w:asciiTheme="majorHAnsi" w:eastAsia="Times New Roman" w:hAnsiTheme="majorHAnsi" w:cstheme="majorHAnsi"/>
        </w:rPr>
        <w:t xml:space="preserve"> and post-Constantinian influenced interpretations seem to pit texts against each other or section them to their specific </w:t>
      </w:r>
      <w:r w:rsidRPr="000D5CB8">
        <w:rPr>
          <w:rFonts w:asciiTheme="majorHAnsi" w:eastAsia="Times New Roman" w:hAnsiTheme="majorHAnsi" w:cstheme="majorHAnsi"/>
        </w:rPr>
        <w:lastRenderedPageBreak/>
        <w:t xml:space="preserve">“sphere.” A </w:t>
      </w:r>
      <w:proofErr w:type="gramStart"/>
      <w:r w:rsidRPr="000D5CB8">
        <w:rPr>
          <w:rFonts w:asciiTheme="majorHAnsi" w:eastAsia="Times New Roman" w:hAnsiTheme="majorHAnsi" w:cstheme="majorHAnsi"/>
        </w:rPr>
        <w:t>narrative based</w:t>
      </w:r>
      <w:proofErr w:type="gramEnd"/>
      <w:r w:rsidRPr="000D5CB8">
        <w:rPr>
          <w:rFonts w:asciiTheme="majorHAnsi" w:eastAsia="Times New Roman" w:hAnsiTheme="majorHAnsi" w:cstheme="majorHAnsi"/>
        </w:rPr>
        <w:t xml:space="preserve"> approach allows us to show the non-contradictory aspects of Scripture while also explaining the human side of inspiration where one’s view of the empire may be situational.  </w:t>
      </w:r>
    </w:p>
    <w:p w14:paraId="7C1955BD"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i/>
        </w:rPr>
        <w:tab/>
      </w:r>
      <w:proofErr w:type="spellStart"/>
      <w:r w:rsidRPr="000D5CB8">
        <w:rPr>
          <w:rFonts w:asciiTheme="majorHAnsi" w:eastAsia="Times New Roman" w:hAnsiTheme="majorHAnsi" w:cstheme="majorHAnsi"/>
        </w:rPr>
        <w:t>Achtemeier</w:t>
      </w:r>
      <w:proofErr w:type="spellEnd"/>
      <w:r w:rsidRPr="000D5CB8">
        <w:rPr>
          <w:rFonts w:asciiTheme="majorHAnsi" w:eastAsia="Times New Roman" w:hAnsiTheme="majorHAnsi" w:cstheme="majorHAnsi"/>
        </w:rPr>
        <w:t xml:space="preserve"> shows how the language in Romans and 1 Peter show similarities, “Yet despite such similarities, 1 Peter displays a very different attitude to civil authority and seeing it in the same light as the passage in Romans inevitably makes inaccessible the intention of the passage.”</w:t>
      </w:r>
      <w:r w:rsidRPr="000D5CB8">
        <w:rPr>
          <w:rFonts w:asciiTheme="majorHAnsi" w:eastAsia="Times New Roman" w:hAnsiTheme="majorHAnsi" w:cstheme="majorHAnsi"/>
          <w:vertAlign w:val="superscript"/>
        </w:rPr>
        <w:footnoteReference w:id="86"/>
      </w:r>
      <w:r w:rsidRPr="000D5CB8">
        <w:rPr>
          <w:rFonts w:asciiTheme="majorHAnsi" w:eastAsia="Times New Roman" w:hAnsiTheme="majorHAnsi" w:cstheme="majorHAnsi"/>
        </w:rPr>
        <w:t xml:space="preserve"> He states after going through many of the similarities and difference in the passages that: </w:t>
      </w:r>
    </w:p>
    <w:p w14:paraId="72FB3D00" w14:textId="77777777" w:rsidR="005E23AC" w:rsidRPr="000D5CB8" w:rsidRDefault="006A3099" w:rsidP="000D5CB8">
      <w:pPr>
        <w:ind w:left="720" w:right="720"/>
        <w:jc w:val="both"/>
        <w:rPr>
          <w:rFonts w:asciiTheme="majorHAnsi" w:eastAsia="Times New Roman" w:hAnsiTheme="majorHAnsi" w:cstheme="majorHAnsi"/>
        </w:rPr>
      </w:pPr>
      <w:r w:rsidRPr="000D5CB8">
        <w:rPr>
          <w:rFonts w:asciiTheme="majorHAnsi" w:eastAsia="Times New Roman" w:hAnsiTheme="majorHAnsi" w:cstheme="majorHAnsi"/>
        </w:rPr>
        <w:t>It is therefore apparent that while there is similar vocabulary in the two passages, the use to which that vocabulary is put is quite different, and those elements in each passage for which the other has no parallel point the respective passages in different directions, the most striking of which is that the insistence in Romans 13 that rulers bear divine authority is totally absent in 1 Peter 2. The passages are thus quite different,</w:t>
      </w:r>
      <w:r w:rsidRPr="000D5CB8">
        <w:rPr>
          <w:rFonts w:asciiTheme="majorHAnsi" w:eastAsia="Times New Roman" w:hAnsiTheme="majorHAnsi" w:cstheme="majorHAnsi"/>
          <w:vertAlign w:val="superscript"/>
        </w:rPr>
        <w:t>26</w:t>
      </w:r>
      <w:r w:rsidRPr="000D5CB8">
        <w:rPr>
          <w:rFonts w:asciiTheme="majorHAnsi" w:eastAsia="Times New Roman" w:hAnsiTheme="majorHAnsi" w:cstheme="majorHAnsi"/>
        </w:rPr>
        <w:t xml:space="preserve"> and to attempt to find the same point in both because of a superficial similarity of language is to overlook the very different point each passage seeks to make. The increasing importance of the emperor cult, particularly in Asia Minor, by the time 1 Peter was written, and the different destinations to which Romans and 1 Peter were addressed, are probably to be understood as the reasons for the different emphases in the two letters.</w:t>
      </w:r>
      <w:r w:rsidRPr="000D5CB8">
        <w:rPr>
          <w:rFonts w:asciiTheme="majorHAnsi" w:eastAsia="Times New Roman" w:hAnsiTheme="majorHAnsi" w:cstheme="majorHAnsi"/>
          <w:vertAlign w:val="superscript"/>
        </w:rPr>
        <w:footnoteReference w:id="87"/>
      </w:r>
    </w:p>
    <w:p w14:paraId="2B602741" w14:textId="77777777" w:rsidR="005E23AC" w:rsidRPr="000D5CB8" w:rsidRDefault="005E23AC" w:rsidP="000D5CB8">
      <w:pPr>
        <w:ind w:left="720" w:right="720"/>
        <w:jc w:val="both"/>
        <w:rPr>
          <w:rFonts w:asciiTheme="majorHAnsi" w:eastAsia="Times New Roman" w:hAnsiTheme="majorHAnsi" w:cstheme="majorHAnsi"/>
        </w:rPr>
      </w:pPr>
    </w:p>
    <w:p w14:paraId="22CEC501" w14:textId="77777777" w:rsidR="005E23AC" w:rsidRPr="000D5CB8" w:rsidRDefault="006A3099" w:rsidP="000D5CB8">
      <w:pPr>
        <w:ind w:right="720"/>
        <w:rPr>
          <w:rFonts w:asciiTheme="majorHAnsi" w:eastAsia="Times New Roman" w:hAnsiTheme="majorHAnsi" w:cstheme="majorHAnsi"/>
        </w:rPr>
      </w:pPr>
      <w:r w:rsidRPr="000D5CB8">
        <w:rPr>
          <w:rFonts w:asciiTheme="majorHAnsi" w:eastAsia="Times New Roman" w:hAnsiTheme="majorHAnsi" w:cstheme="majorHAnsi"/>
        </w:rPr>
        <w:t xml:space="preserve">The attitude towards government may have changed but the response of the </w:t>
      </w:r>
      <w:proofErr w:type="gramStart"/>
      <w:r w:rsidRPr="000D5CB8">
        <w:rPr>
          <w:rFonts w:asciiTheme="majorHAnsi" w:eastAsia="Times New Roman" w:hAnsiTheme="majorHAnsi" w:cstheme="majorHAnsi"/>
        </w:rPr>
        <w:t>believer</w:t>
      </w:r>
      <w:proofErr w:type="gramEnd"/>
      <w:r w:rsidRPr="000D5CB8">
        <w:rPr>
          <w:rFonts w:asciiTheme="majorHAnsi" w:eastAsia="Times New Roman" w:hAnsiTheme="majorHAnsi" w:cstheme="majorHAnsi"/>
        </w:rPr>
        <w:t xml:space="preserve"> in 1 Peter and Romans has not changed. </w:t>
      </w:r>
    </w:p>
    <w:p w14:paraId="7168696A"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Yet, Ben Witherington disagrees and rejects that these passages contradict. He sees the possibility of the biblical view of empire changing over the course of the New Testament stating, </w:t>
      </w:r>
    </w:p>
    <w:p w14:paraId="4DA0EE3C" w14:textId="77777777" w:rsidR="005E23AC" w:rsidRPr="000D5CB8" w:rsidRDefault="006A3099" w:rsidP="000D5CB8">
      <w:pPr>
        <w:ind w:left="720" w:right="720"/>
        <w:jc w:val="both"/>
        <w:rPr>
          <w:rFonts w:asciiTheme="majorHAnsi" w:eastAsia="Times New Roman" w:hAnsiTheme="majorHAnsi" w:cstheme="majorHAnsi"/>
        </w:rPr>
      </w:pPr>
      <w:r w:rsidRPr="000D5CB8">
        <w:rPr>
          <w:rFonts w:asciiTheme="majorHAnsi" w:eastAsia="Times New Roman" w:hAnsiTheme="majorHAnsi" w:cstheme="majorHAnsi"/>
        </w:rPr>
        <w:t>“The governing authority in Revelation is described as a brutal and subhuman creature, the Beast. There is little doubt that John speaks differently about governing authorities than what we find in Romans 13 and 1 Peter. But Romans 13 is not a call to blind obedience to governing authorities. It is a document written during the good years of Nero’s reign, when he had helpful advisors, and well before the persecutions, whereas Revelation was written after the Neronian persecutions… Paul assumes that government is operating in a normal mode and that justice is still possible through these authorities. John makes no such assumption.”</w:t>
      </w:r>
      <w:r w:rsidRPr="000D5CB8">
        <w:rPr>
          <w:rFonts w:asciiTheme="majorHAnsi" w:eastAsia="Times New Roman" w:hAnsiTheme="majorHAnsi" w:cstheme="majorHAnsi"/>
          <w:vertAlign w:val="superscript"/>
        </w:rPr>
        <w:footnoteReference w:id="88"/>
      </w:r>
      <w:r w:rsidRPr="000D5CB8">
        <w:rPr>
          <w:rFonts w:asciiTheme="majorHAnsi" w:eastAsia="Times New Roman" w:hAnsiTheme="majorHAnsi" w:cstheme="majorHAnsi"/>
        </w:rPr>
        <w:t xml:space="preserve"> </w:t>
      </w:r>
    </w:p>
    <w:p w14:paraId="31E04ED6" w14:textId="77777777" w:rsidR="005E23AC" w:rsidRPr="000D5CB8" w:rsidRDefault="005E23AC" w:rsidP="000D5CB8">
      <w:pPr>
        <w:ind w:left="720" w:right="720"/>
        <w:jc w:val="both"/>
        <w:rPr>
          <w:rFonts w:asciiTheme="majorHAnsi" w:eastAsia="Times New Roman" w:hAnsiTheme="majorHAnsi" w:cstheme="majorHAnsi"/>
        </w:rPr>
      </w:pPr>
    </w:p>
    <w:p w14:paraId="053D35D2"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John Howard Yoder’s exegesis of Romans 13 contrasts the post-Constantinian view (meaning a Luther </w:t>
      </w:r>
      <w:r w:rsidRPr="000D5CB8">
        <w:rPr>
          <w:rFonts w:asciiTheme="majorHAnsi" w:eastAsia="Times New Roman" w:hAnsiTheme="majorHAnsi" w:cstheme="majorHAnsi"/>
          <w:i/>
        </w:rPr>
        <w:t>Two Kingdoms</w:t>
      </w:r>
      <w:r w:rsidRPr="000D5CB8">
        <w:rPr>
          <w:rFonts w:asciiTheme="majorHAnsi" w:eastAsia="Times New Roman" w:hAnsiTheme="majorHAnsi" w:cstheme="majorHAnsi"/>
        </w:rPr>
        <w:t xml:space="preserve"> theology) of interpretation that stands in contrast with the sermon on the Mount and especially Jesus’ teachings in Matthew 5. He rejects the fact that the view of the state changed over the New Testament. He concludes that both Protestant and Catholic, within both conservative and liberal theologies conclude that “duties in Romans 13 take precedence in the social realm and the duties of Matthew 5 take precedence in the personal realm.” Yoder concludes that only in post-Constantinian logic does Matthew 5 and Romans 13 contradict. He states that “Romans 12-13 and Matthew 5-7 are not in contradiction or in tension. They both instruct Christians to be non-resistant in all their relationships, including the social. They both call on the disciple of Jesus to renounce participation in the interplay of egoisms which this world calls ‘violence’ </w:t>
      </w:r>
      <w:r w:rsidRPr="000D5CB8">
        <w:rPr>
          <w:rFonts w:asciiTheme="majorHAnsi" w:eastAsia="Times New Roman" w:hAnsiTheme="majorHAnsi" w:cstheme="majorHAnsi"/>
        </w:rPr>
        <w:lastRenderedPageBreak/>
        <w:t>or ‘justice’.”</w:t>
      </w:r>
      <w:r w:rsidRPr="000D5CB8">
        <w:rPr>
          <w:rFonts w:asciiTheme="majorHAnsi" w:eastAsia="Times New Roman" w:hAnsiTheme="majorHAnsi" w:cstheme="majorHAnsi"/>
          <w:vertAlign w:val="superscript"/>
        </w:rPr>
        <w:footnoteReference w:id="89"/>
      </w:r>
      <w:r w:rsidRPr="000D5CB8">
        <w:rPr>
          <w:rFonts w:asciiTheme="majorHAnsi" w:eastAsia="Times New Roman" w:hAnsiTheme="majorHAnsi" w:cstheme="majorHAnsi"/>
        </w:rPr>
        <w:t xml:space="preserve"> He makes the point that Romans 13 can only be understood in its larger context, which we will investigate in chapter 4 and within the ethics of Jesus. </w:t>
      </w:r>
    </w:p>
    <w:p w14:paraId="1846771C"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As for the interpretation of </w:t>
      </w:r>
      <w:proofErr w:type="gramStart"/>
      <w:r w:rsidRPr="000D5CB8">
        <w:rPr>
          <w:rFonts w:asciiTheme="majorHAnsi" w:eastAsia="Times New Roman" w:hAnsiTheme="majorHAnsi" w:cstheme="majorHAnsi"/>
        </w:rPr>
        <w:t>Revelation</w:t>
      </w:r>
      <w:proofErr w:type="gramEnd"/>
      <w:r w:rsidRPr="000D5CB8">
        <w:rPr>
          <w:rFonts w:asciiTheme="majorHAnsi" w:eastAsia="Times New Roman" w:hAnsiTheme="majorHAnsi" w:cstheme="majorHAnsi"/>
        </w:rPr>
        <w:t xml:space="preserve"> we will proceed with a </w:t>
      </w:r>
      <w:r w:rsidRPr="000D5CB8">
        <w:rPr>
          <w:rFonts w:asciiTheme="majorHAnsi" w:eastAsia="Times New Roman" w:hAnsiTheme="majorHAnsi" w:cstheme="majorHAnsi"/>
          <w:i/>
        </w:rPr>
        <w:t>contemporary historical</w:t>
      </w:r>
      <w:r w:rsidRPr="000D5CB8">
        <w:rPr>
          <w:rFonts w:asciiTheme="majorHAnsi" w:eastAsia="Times New Roman" w:hAnsiTheme="majorHAnsi" w:cstheme="majorHAnsi"/>
        </w:rPr>
        <w:t xml:space="preserve"> view that does not divorce idealism (spiritual application), the notion that Revelation’s message has application to audiences of all time, from the conversation.</w:t>
      </w:r>
      <w:r w:rsidRPr="000D5CB8">
        <w:rPr>
          <w:rFonts w:asciiTheme="majorHAnsi" w:eastAsia="Times New Roman" w:hAnsiTheme="majorHAnsi" w:cstheme="majorHAnsi"/>
          <w:vertAlign w:val="superscript"/>
        </w:rPr>
        <w:footnoteReference w:id="90"/>
      </w:r>
      <w:r w:rsidRPr="000D5CB8">
        <w:rPr>
          <w:rFonts w:asciiTheme="majorHAnsi" w:eastAsia="Times New Roman" w:hAnsiTheme="majorHAnsi" w:cstheme="majorHAnsi"/>
        </w:rPr>
        <w:t xml:space="preserve"> We will specifically concentrate on how the message of political and civic religious idolatry permeates the text of this letter. Michael Gorman summarizes the themes of Revelation stating,</w:t>
      </w:r>
    </w:p>
    <w:p w14:paraId="62541B07" w14:textId="77777777" w:rsidR="005E23AC" w:rsidRPr="000D5CB8" w:rsidRDefault="006A3099" w:rsidP="000D5CB8">
      <w:pPr>
        <w:ind w:left="720" w:right="720"/>
        <w:jc w:val="both"/>
        <w:rPr>
          <w:rFonts w:asciiTheme="majorHAnsi" w:eastAsia="Times New Roman" w:hAnsiTheme="majorHAnsi" w:cstheme="majorHAnsi"/>
        </w:rPr>
      </w:pPr>
      <w:r w:rsidRPr="000D5CB8">
        <w:rPr>
          <w:rFonts w:asciiTheme="majorHAnsi" w:eastAsia="Times New Roman" w:hAnsiTheme="majorHAnsi" w:cstheme="majorHAnsi"/>
        </w:rPr>
        <w:t xml:space="preserve">“Revelation is… a </w:t>
      </w:r>
      <w:proofErr w:type="spellStart"/>
      <w:r w:rsidRPr="000D5CB8">
        <w:rPr>
          <w:rFonts w:asciiTheme="majorHAnsi" w:eastAsia="Times New Roman" w:hAnsiTheme="majorHAnsi" w:cstheme="majorHAnsi"/>
          <w:i/>
        </w:rPr>
        <w:t>theopolitical</w:t>
      </w:r>
      <w:proofErr w:type="spellEnd"/>
      <w:r w:rsidRPr="000D5CB8">
        <w:rPr>
          <w:rFonts w:asciiTheme="majorHAnsi" w:eastAsia="Times New Roman" w:hAnsiTheme="majorHAnsi" w:cstheme="majorHAnsi"/>
        </w:rPr>
        <w:t xml:space="preserve"> text. It makes claims about who is truly God and about right and wrong connections between God and the socio-political order; it challenges the political theology of empire and the religious ideology that underwrites it; and it reveals God and the Lamb alone as the true Sovereign One, source of all blessings, and proper object of worship. Moreover, Revelation tells us not only who is </w:t>
      </w:r>
      <w:proofErr w:type="gramStart"/>
      <w:r w:rsidRPr="000D5CB8">
        <w:rPr>
          <w:rFonts w:asciiTheme="majorHAnsi" w:eastAsia="Times New Roman" w:hAnsiTheme="majorHAnsi" w:cstheme="majorHAnsi"/>
        </w:rPr>
        <w:t>really sovereign</w:t>
      </w:r>
      <w:proofErr w:type="gramEnd"/>
      <w:r w:rsidRPr="000D5CB8">
        <w:rPr>
          <w:rFonts w:asciiTheme="majorHAnsi" w:eastAsia="Times New Roman" w:hAnsiTheme="majorHAnsi" w:cstheme="majorHAnsi"/>
        </w:rPr>
        <w:t xml:space="preserve"> but also what kind of sovereignty the true God exercises, namely what many have called nonviolent and non-coercive “Lamb power” …Is Revelation a critique of empire? Yes—but that is not its ultimate </w:t>
      </w:r>
      <w:proofErr w:type="spellStart"/>
      <w:r w:rsidRPr="000D5CB8">
        <w:rPr>
          <w:rFonts w:asciiTheme="majorHAnsi" w:eastAsia="Times New Roman" w:hAnsiTheme="majorHAnsi" w:cstheme="majorHAnsi"/>
        </w:rPr>
        <w:t>theopolitical</w:t>
      </w:r>
      <w:proofErr w:type="spellEnd"/>
      <w:r w:rsidRPr="000D5CB8">
        <w:rPr>
          <w:rFonts w:asciiTheme="majorHAnsi" w:eastAsia="Times New Roman" w:hAnsiTheme="majorHAnsi" w:cstheme="majorHAnsi"/>
        </w:rPr>
        <w:t xml:space="preserve"> function. The fate of empire is certain; what is uncertain is the fate of those who currently participate in the cult of empire. The more significant critique is the critique of the church, and specifically of its participation in the idolatry of the imperial cult, the civil or national religion. Will the churches repent? For the churches, one main question emerges: ‘Beast or Lamb?’”</w:t>
      </w:r>
      <w:r w:rsidRPr="000D5CB8">
        <w:rPr>
          <w:rFonts w:asciiTheme="majorHAnsi" w:eastAsia="Times New Roman" w:hAnsiTheme="majorHAnsi" w:cstheme="majorHAnsi"/>
          <w:vertAlign w:val="superscript"/>
        </w:rPr>
        <w:footnoteReference w:id="91"/>
      </w:r>
    </w:p>
    <w:p w14:paraId="4F9DBBAD" w14:textId="77777777" w:rsidR="005E23AC" w:rsidRPr="000D5CB8" w:rsidRDefault="005E23AC" w:rsidP="000D5CB8">
      <w:pPr>
        <w:rPr>
          <w:rFonts w:asciiTheme="majorHAnsi" w:eastAsia="Times New Roman" w:hAnsiTheme="majorHAnsi" w:cstheme="majorHAnsi"/>
        </w:rPr>
      </w:pPr>
    </w:p>
    <w:p w14:paraId="7135B768"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With these trajectories in mind, the use of a narrative-based approach, through a socio-rhetorical lens, and applications that resonate with the original audience and culture, would make the most sense as an interpretive method. With this we can tell whether Paul, Peter, and John all had a Deuteronomy 32 Worldview behind their writings which influenced the way they saw the empire and the way that they lived in it as the body of Christ. </w:t>
      </w:r>
    </w:p>
    <w:p w14:paraId="34CA0FA3" w14:textId="77777777" w:rsidR="005E23AC" w:rsidRPr="000D5CB8" w:rsidRDefault="005E23AC" w:rsidP="000D5CB8">
      <w:pPr>
        <w:ind w:firstLine="720"/>
        <w:rPr>
          <w:rFonts w:asciiTheme="majorHAnsi" w:eastAsia="Times New Roman" w:hAnsiTheme="majorHAnsi" w:cstheme="majorHAnsi"/>
        </w:rPr>
      </w:pPr>
    </w:p>
    <w:p w14:paraId="46C6A79F" w14:textId="77777777" w:rsidR="005E23AC" w:rsidRPr="000D5CB8" w:rsidRDefault="006A3099" w:rsidP="000D5CB8">
      <w:pPr>
        <w:rPr>
          <w:rFonts w:asciiTheme="majorHAnsi" w:eastAsia="Times New Roman" w:hAnsiTheme="majorHAnsi" w:cstheme="majorHAnsi"/>
          <w:i/>
        </w:rPr>
      </w:pPr>
      <w:r w:rsidRPr="000D5CB8">
        <w:rPr>
          <w:rFonts w:asciiTheme="majorHAnsi" w:eastAsia="Times New Roman" w:hAnsiTheme="majorHAnsi" w:cstheme="majorHAnsi"/>
        </w:rPr>
        <w:t xml:space="preserve">1.3.5 </w:t>
      </w:r>
      <w:r w:rsidRPr="000D5CB8">
        <w:rPr>
          <w:rFonts w:asciiTheme="majorHAnsi" w:eastAsia="Times New Roman" w:hAnsiTheme="majorHAnsi" w:cstheme="majorHAnsi"/>
          <w:i/>
        </w:rPr>
        <w:t>Scope and Limitations</w:t>
      </w:r>
    </w:p>
    <w:p w14:paraId="4E195C92" w14:textId="77777777" w:rsidR="005E23AC" w:rsidRPr="000D5CB8" w:rsidRDefault="005E23AC" w:rsidP="000D5CB8">
      <w:pPr>
        <w:rPr>
          <w:rFonts w:asciiTheme="majorHAnsi" w:eastAsia="Times New Roman" w:hAnsiTheme="majorHAnsi" w:cstheme="majorHAnsi"/>
          <w:i/>
        </w:rPr>
      </w:pPr>
    </w:p>
    <w:p w14:paraId="3E0136C3"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We will be limiting the scope of this dissertation to Romans 13:1-7, 1 Peter 2:13-17, and Revelation 13 outside of the foundational background of the Deuteronomy 32 Worldview. There are more texts outside of these that could be </w:t>
      </w:r>
      <w:proofErr w:type="gramStart"/>
      <w:r w:rsidRPr="000D5CB8">
        <w:rPr>
          <w:rFonts w:asciiTheme="majorHAnsi" w:eastAsia="Times New Roman" w:hAnsiTheme="majorHAnsi" w:cstheme="majorHAnsi"/>
        </w:rPr>
        <w:t>considered, but</w:t>
      </w:r>
      <w:proofErr w:type="gramEnd"/>
      <w:r w:rsidRPr="000D5CB8">
        <w:rPr>
          <w:rFonts w:asciiTheme="majorHAnsi" w:eastAsia="Times New Roman" w:hAnsiTheme="majorHAnsi" w:cstheme="majorHAnsi"/>
        </w:rPr>
        <w:t xml:space="preserve"> based on my research these are the primary texts referred to in the conversation of the relationship of the church and empire from both sides of the debate. This is not to discount 1 Timothy 2:1-2 and others, but most of the other passages can be summarized within the findings of the major texts.  </w:t>
      </w:r>
    </w:p>
    <w:p w14:paraId="4F9EBBFE" w14:textId="77777777" w:rsidR="005E23AC" w:rsidRPr="000D5CB8" w:rsidRDefault="005E23AC" w:rsidP="000D5CB8">
      <w:pPr>
        <w:jc w:val="center"/>
        <w:rPr>
          <w:rFonts w:asciiTheme="majorHAnsi" w:eastAsia="Times New Roman" w:hAnsiTheme="majorHAnsi" w:cstheme="majorHAnsi"/>
          <w:b/>
        </w:rPr>
      </w:pPr>
    </w:p>
    <w:p w14:paraId="179EE15B" w14:textId="77777777" w:rsidR="005E23AC" w:rsidRPr="000D5CB8" w:rsidRDefault="006A3099" w:rsidP="000D5CB8">
      <w:pPr>
        <w:numPr>
          <w:ilvl w:val="1"/>
          <w:numId w:val="1"/>
        </w:numPr>
        <w:pBdr>
          <w:top w:val="nil"/>
          <w:left w:val="nil"/>
          <w:bottom w:val="nil"/>
          <w:right w:val="nil"/>
          <w:between w:val="nil"/>
        </w:pBdr>
        <w:jc w:val="center"/>
        <w:rPr>
          <w:rFonts w:asciiTheme="majorHAnsi" w:eastAsia="Times New Roman" w:hAnsiTheme="majorHAnsi" w:cstheme="majorHAnsi"/>
          <w:b/>
          <w:color w:val="000000"/>
        </w:rPr>
      </w:pPr>
      <w:r w:rsidRPr="000D5CB8">
        <w:rPr>
          <w:rFonts w:asciiTheme="majorHAnsi" w:eastAsia="Times New Roman" w:hAnsiTheme="majorHAnsi" w:cstheme="majorHAnsi"/>
          <w:b/>
          <w:color w:val="000000"/>
        </w:rPr>
        <w:t>Plan of Study</w:t>
      </w:r>
    </w:p>
    <w:p w14:paraId="453830FB" w14:textId="77777777" w:rsidR="005E23AC" w:rsidRPr="000D5CB8" w:rsidRDefault="005E23AC" w:rsidP="000D5CB8">
      <w:pPr>
        <w:pBdr>
          <w:top w:val="nil"/>
          <w:left w:val="nil"/>
          <w:bottom w:val="nil"/>
          <w:right w:val="nil"/>
          <w:between w:val="nil"/>
        </w:pBdr>
        <w:ind w:left="360"/>
        <w:rPr>
          <w:rFonts w:asciiTheme="majorHAnsi" w:eastAsia="Times New Roman" w:hAnsiTheme="majorHAnsi" w:cstheme="majorHAnsi"/>
          <w:b/>
          <w:color w:val="000000"/>
        </w:rPr>
      </w:pPr>
    </w:p>
    <w:p w14:paraId="17BBED9E" w14:textId="77777777" w:rsidR="005E23AC" w:rsidRPr="000D5CB8" w:rsidRDefault="005E23AC" w:rsidP="000D5CB8">
      <w:pPr>
        <w:jc w:val="center"/>
        <w:rPr>
          <w:rFonts w:asciiTheme="majorHAnsi" w:eastAsia="Times New Roman" w:hAnsiTheme="majorHAnsi" w:cstheme="majorHAnsi"/>
          <w:b/>
        </w:rPr>
      </w:pPr>
    </w:p>
    <w:p w14:paraId="1F979779"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lastRenderedPageBreak/>
        <w:t xml:space="preserve">Following this introduction, this dissertation will begin in chapter 2 with a literature review containing an examination and overview of the Deuteronomy 32 Worldview beginning in the Old Testament. We will explore the nature of spiritual beings and the three rebellions that we see in the Old Testament. Within this examination we’ll summarize the views from the second temple period for each rebellion to confirm its continuity before proceeding with this worldview into the New Testament. If favorable, we will take this framework and continue our examination of it in the subsequent chapters. </w:t>
      </w:r>
    </w:p>
    <w:p w14:paraId="159AC4F7" w14:textId="77777777" w:rsidR="005E23AC" w:rsidRPr="000D5CB8" w:rsidRDefault="006A3099" w:rsidP="000D5CB8">
      <w:pPr>
        <w:ind w:firstLine="720"/>
        <w:rPr>
          <w:rFonts w:asciiTheme="majorHAnsi" w:eastAsia="Times New Roman" w:hAnsiTheme="majorHAnsi" w:cstheme="majorHAnsi"/>
        </w:rPr>
      </w:pPr>
      <w:r w:rsidRPr="000D5CB8">
        <w:rPr>
          <w:rFonts w:asciiTheme="majorHAnsi" w:eastAsia="Times New Roman" w:hAnsiTheme="majorHAnsi" w:cstheme="majorHAnsi"/>
        </w:rPr>
        <w:t xml:space="preserve">Chapter 3 will set up some foundational perspectives on the kingdom of God. The intertestamental period’s literature review of the Deuteronomy 32 Worldview will launch us into the New Testament where we’ll look at the evidence for this framework. In this chapter we will also look at the New Testament perspective of Satan as the ruler of the rebellious </w:t>
      </w:r>
      <w:proofErr w:type="spellStart"/>
      <w:r w:rsidRPr="000D5CB8">
        <w:rPr>
          <w:rFonts w:asciiTheme="majorHAnsi" w:eastAsia="Times New Roman" w:hAnsiTheme="majorHAnsi" w:cstheme="majorHAnsi"/>
        </w:rPr>
        <w:t>elohim</w:t>
      </w:r>
      <w:proofErr w:type="spellEnd"/>
      <w:r w:rsidRPr="000D5CB8">
        <w:rPr>
          <w:rFonts w:asciiTheme="majorHAnsi" w:eastAsia="Times New Roman" w:hAnsiTheme="majorHAnsi" w:cstheme="majorHAnsi"/>
        </w:rPr>
        <w:t xml:space="preserve"> and the church’s role in inaugurated eschatology by looking at the Gospel of the Kingdom and Jesus’ responses to the kingdoms of the world.</w:t>
      </w:r>
    </w:p>
    <w:p w14:paraId="6D83008F"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Chapter 4 will examine Romans 13:1-7 (</w:t>
      </w:r>
      <w:r w:rsidRPr="000D5CB8">
        <w:rPr>
          <w:rFonts w:asciiTheme="majorHAnsi" w:eastAsia="Times New Roman" w:hAnsiTheme="majorHAnsi" w:cstheme="majorHAnsi"/>
          <w:i/>
        </w:rPr>
        <w:t>submission</w:t>
      </w:r>
      <w:r w:rsidRPr="000D5CB8">
        <w:rPr>
          <w:rFonts w:asciiTheme="majorHAnsi" w:eastAsia="Times New Roman" w:hAnsiTheme="majorHAnsi" w:cstheme="majorHAnsi"/>
        </w:rPr>
        <w:t xml:space="preserve"> text). First, we must examine the occasion, audience, and context before we look at the message of the letter and the Deuteronomy 32 Worldview within Romans. Based on this foundation we can do a socio-rhetorical examination of Romans 13:1-7 looking at Paul’s context of submission, empire, and taxes and how it relates to the Roman Christians. </w:t>
      </w:r>
    </w:p>
    <w:p w14:paraId="55B95D11"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Chapter 4 will continue by examining 1 Peter 2:13-17 (</w:t>
      </w:r>
      <w:r w:rsidRPr="000D5CB8">
        <w:rPr>
          <w:rFonts w:asciiTheme="majorHAnsi" w:eastAsia="Times New Roman" w:hAnsiTheme="majorHAnsi" w:cstheme="majorHAnsi"/>
          <w:i/>
        </w:rPr>
        <w:t>submission</w:t>
      </w:r>
      <w:r w:rsidRPr="000D5CB8">
        <w:rPr>
          <w:rFonts w:asciiTheme="majorHAnsi" w:eastAsia="Times New Roman" w:hAnsiTheme="majorHAnsi" w:cstheme="majorHAnsi"/>
        </w:rPr>
        <w:t xml:space="preserve"> text). </w:t>
      </w:r>
      <w:proofErr w:type="gramStart"/>
      <w:r w:rsidRPr="000D5CB8">
        <w:rPr>
          <w:rFonts w:asciiTheme="majorHAnsi" w:eastAsia="Times New Roman" w:hAnsiTheme="majorHAnsi" w:cstheme="majorHAnsi"/>
        </w:rPr>
        <w:t>Similar to</w:t>
      </w:r>
      <w:proofErr w:type="gramEnd"/>
      <w:r w:rsidRPr="000D5CB8">
        <w:rPr>
          <w:rFonts w:asciiTheme="majorHAnsi" w:eastAsia="Times New Roman" w:hAnsiTheme="majorHAnsi" w:cstheme="majorHAnsi"/>
        </w:rPr>
        <w:t xml:space="preserve"> Romans 13:1-7, we will explore the background and context before looking at whether Peter had a Deuteronomy 32 Worldview behind his letter. Following this we will exegete the text with a socio-rhetorical hermeneutic, examining the textures of the text, to make conclusions on Peter’s comments on submission to authority. </w:t>
      </w:r>
    </w:p>
    <w:p w14:paraId="43343D67"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Chapter 5 will examine Revelation 13 (</w:t>
      </w:r>
      <w:r w:rsidRPr="000D5CB8">
        <w:rPr>
          <w:rFonts w:asciiTheme="majorHAnsi" w:eastAsia="Times New Roman" w:hAnsiTheme="majorHAnsi" w:cstheme="majorHAnsi"/>
          <w:i/>
        </w:rPr>
        <w:t>conflict</w:t>
      </w:r>
      <w:r w:rsidRPr="000D5CB8">
        <w:rPr>
          <w:rFonts w:asciiTheme="majorHAnsi" w:eastAsia="Times New Roman" w:hAnsiTheme="majorHAnsi" w:cstheme="majorHAnsi"/>
        </w:rPr>
        <w:t xml:space="preserve"> text). Likewise, we will examine the background, occasion, and message of the apocalypse and its Deuteronomy 32 Worldview. We’ll look at the political nature and situation of the text and how it relates to John’s audience in the first century. Following this we can draw conclusions on how John tells the seven churches to live in relation to the empire. </w:t>
      </w:r>
    </w:p>
    <w:p w14:paraId="4624654B"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ab/>
        <w:t xml:space="preserve">In the conclusion (Chapter 6) we will gather </w:t>
      </w:r>
      <w:proofErr w:type="gramStart"/>
      <w:r w:rsidRPr="000D5CB8">
        <w:rPr>
          <w:rFonts w:asciiTheme="majorHAnsi" w:eastAsia="Times New Roman" w:hAnsiTheme="majorHAnsi" w:cstheme="majorHAnsi"/>
        </w:rPr>
        <w:t>all of</w:t>
      </w:r>
      <w:proofErr w:type="gramEnd"/>
      <w:r w:rsidRPr="000D5CB8">
        <w:rPr>
          <w:rFonts w:asciiTheme="majorHAnsi" w:eastAsia="Times New Roman" w:hAnsiTheme="majorHAnsi" w:cstheme="majorHAnsi"/>
        </w:rPr>
        <w:t xml:space="preserve"> our findings together and summarize how these three texts align in relation to each other based on the socio-rhetorical examination of the texts within a Deuteronomy 32 Worldview. We’ll analyze the implications and applications to the original audiences within their context. We will also show how the Deuteronomy 32 Worldview brings clarity to any discontinuity in the texts.</w:t>
      </w:r>
    </w:p>
    <w:p w14:paraId="7D4ED605" w14:textId="77777777" w:rsidR="005E23AC" w:rsidRPr="000D5CB8" w:rsidRDefault="005E23AC" w:rsidP="000D5CB8">
      <w:pPr>
        <w:rPr>
          <w:rFonts w:asciiTheme="majorHAnsi" w:eastAsia="Times New Roman" w:hAnsiTheme="majorHAnsi" w:cstheme="majorHAnsi"/>
        </w:rPr>
      </w:pPr>
    </w:p>
    <w:p w14:paraId="54756D9C" w14:textId="77777777" w:rsidR="005E23AC" w:rsidRPr="000D5CB8" w:rsidRDefault="005E23AC" w:rsidP="000D5CB8">
      <w:pPr>
        <w:rPr>
          <w:rFonts w:asciiTheme="majorHAnsi" w:eastAsia="Times New Roman" w:hAnsiTheme="majorHAnsi" w:cstheme="majorHAnsi"/>
        </w:rPr>
      </w:pPr>
    </w:p>
    <w:p w14:paraId="5070C1D6" w14:textId="77777777" w:rsidR="005E23AC" w:rsidRPr="000D5CB8" w:rsidRDefault="005E23AC" w:rsidP="000D5CB8">
      <w:pPr>
        <w:jc w:val="center"/>
        <w:rPr>
          <w:rFonts w:asciiTheme="majorHAnsi" w:hAnsiTheme="majorHAnsi" w:cstheme="majorHAnsi"/>
          <w:b/>
        </w:rPr>
      </w:pPr>
    </w:p>
    <w:p w14:paraId="10C916AC" w14:textId="77777777" w:rsidR="005E23AC" w:rsidRPr="000D5CB8" w:rsidRDefault="005E23AC" w:rsidP="000D5CB8">
      <w:pPr>
        <w:jc w:val="center"/>
        <w:rPr>
          <w:rFonts w:asciiTheme="majorHAnsi" w:hAnsiTheme="majorHAnsi" w:cstheme="majorHAnsi"/>
          <w:b/>
        </w:rPr>
      </w:pPr>
    </w:p>
    <w:p w14:paraId="0D77757E" w14:textId="4FEA37F3" w:rsidR="009E6ECB" w:rsidRDefault="009E6ECB">
      <w:pPr>
        <w:rPr>
          <w:rFonts w:asciiTheme="majorHAnsi" w:hAnsiTheme="majorHAnsi" w:cstheme="majorHAnsi"/>
          <w:b/>
        </w:rPr>
      </w:pPr>
      <w:r>
        <w:rPr>
          <w:rFonts w:asciiTheme="majorHAnsi" w:hAnsiTheme="majorHAnsi" w:cstheme="majorHAnsi"/>
          <w:b/>
        </w:rPr>
        <w:br w:type="page"/>
      </w:r>
    </w:p>
    <w:p w14:paraId="6771512C" w14:textId="77777777" w:rsidR="005E23AC" w:rsidRPr="000D5CB8" w:rsidRDefault="005E23AC" w:rsidP="000D5CB8">
      <w:pPr>
        <w:jc w:val="center"/>
        <w:rPr>
          <w:rFonts w:asciiTheme="majorHAnsi" w:hAnsiTheme="majorHAnsi" w:cstheme="majorHAnsi"/>
          <w:b/>
        </w:rPr>
      </w:pPr>
    </w:p>
    <w:p w14:paraId="3AE30E4F" w14:textId="77777777" w:rsidR="005E23AC" w:rsidRPr="000D5CB8" w:rsidRDefault="005E23AC" w:rsidP="000D5CB8">
      <w:pPr>
        <w:jc w:val="center"/>
        <w:rPr>
          <w:rFonts w:asciiTheme="majorHAnsi" w:hAnsiTheme="majorHAnsi" w:cstheme="majorHAnsi"/>
          <w:b/>
        </w:rPr>
      </w:pPr>
    </w:p>
    <w:p w14:paraId="33A8B4A2" w14:textId="77777777" w:rsidR="005E23AC" w:rsidRPr="000D5CB8" w:rsidRDefault="005E23AC" w:rsidP="000D5CB8">
      <w:pPr>
        <w:jc w:val="center"/>
        <w:rPr>
          <w:rFonts w:asciiTheme="majorHAnsi" w:hAnsiTheme="majorHAnsi" w:cstheme="majorHAnsi"/>
          <w:b/>
        </w:rPr>
      </w:pPr>
    </w:p>
    <w:p w14:paraId="6A266CB6" w14:textId="77777777" w:rsidR="005E23AC" w:rsidRPr="000D5CB8" w:rsidRDefault="006A3099" w:rsidP="000D5CB8">
      <w:pPr>
        <w:jc w:val="center"/>
        <w:rPr>
          <w:rFonts w:asciiTheme="majorHAnsi" w:eastAsia="Times New Roman" w:hAnsiTheme="majorHAnsi" w:cstheme="majorHAnsi"/>
          <w:b/>
        </w:rPr>
      </w:pPr>
      <w:r w:rsidRPr="000D5CB8">
        <w:rPr>
          <w:rFonts w:asciiTheme="majorHAnsi" w:eastAsia="Times New Roman" w:hAnsiTheme="majorHAnsi" w:cstheme="majorHAnsi"/>
          <w:b/>
        </w:rPr>
        <w:t>BIBLIOGRAPHY</w:t>
      </w:r>
    </w:p>
    <w:p w14:paraId="5F25755B" w14:textId="77777777" w:rsidR="005E23AC" w:rsidRPr="000D5CB8" w:rsidRDefault="005E23AC" w:rsidP="000D5CB8">
      <w:pPr>
        <w:jc w:val="center"/>
        <w:rPr>
          <w:rFonts w:asciiTheme="majorHAnsi" w:eastAsia="Times New Roman" w:hAnsiTheme="majorHAnsi" w:cstheme="majorHAnsi"/>
          <w:b/>
        </w:rPr>
      </w:pPr>
    </w:p>
    <w:p w14:paraId="3B140BD6" w14:textId="77777777" w:rsidR="005E23AC" w:rsidRPr="000D5CB8" w:rsidRDefault="005E23AC" w:rsidP="000D5CB8">
      <w:pPr>
        <w:jc w:val="center"/>
        <w:rPr>
          <w:rFonts w:asciiTheme="majorHAnsi" w:eastAsia="Times New Roman" w:hAnsiTheme="majorHAnsi" w:cstheme="majorHAnsi"/>
          <w:b/>
        </w:rPr>
      </w:pPr>
    </w:p>
    <w:p w14:paraId="0B16DA2D" w14:textId="77777777" w:rsidR="005E23AC" w:rsidRPr="000D5CB8" w:rsidRDefault="005E23AC" w:rsidP="000D5CB8">
      <w:pPr>
        <w:rPr>
          <w:rFonts w:asciiTheme="majorHAnsi" w:eastAsia="Times New Roman" w:hAnsiTheme="majorHAnsi" w:cstheme="majorHAnsi"/>
          <w:b/>
        </w:rPr>
      </w:pPr>
    </w:p>
    <w:p w14:paraId="06BCA420" w14:textId="77777777" w:rsidR="005E23AC" w:rsidRPr="000D5CB8" w:rsidRDefault="006A3099" w:rsidP="000D5CB8">
      <w:pPr>
        <w:rPr>
          <w:rFonts w:asciiTheme="majorHAnsi" w:eastAsia="Times New Roman" w:hAnsiTheme="majorHAnsi" w:cstheme="majorHAnsi"/>
        </w:rPr>
      </w:pPr>
      <w:proofErr w:type="spellStart"/>
      <w:r w:rsidRPr="000D5CB8">
        <w:rPr>
          <w:rFonts w:asciiTheme="majorHAnsi" w:eastAsia="Times New Roman" w:hAnsiTheme="majorHAnsi" w:cstheme="majorHAnsi"/>
        </w:rPr>
        <w:t>Achtemeier</w:t>
      </w:r>
      <w:proofErr w:type="spellEnd"/>
      <w:r w:rsidRPr="000D5CB8">
        <w:rPr>
          <w:rFonts w:asciiTheme="majorHAnsi" w:eastAsia="Times New Roman" w:hAnsiTheme="majorHAnsi" w:cstheme="majorHAnsi"/>
        </w:rPr>
        <w:t xml:space="preserve">, Paul J. </w:t>
      </w:r>
      <w:r w:rsidRPr="000D5CB8">
        <w:rPr>
          <w:rFonts w:asciiTheme="majorHAnsi" w:eastAsia="Times New Roman" w:hAnsiTheme="majorHAnsi" w:cstheme="majorHAnsi"/>
          <w:i/>
        </w:rPr>
        <w:t>1 Peter: A Commentary on First Peter</w:t>
      </w:r>
      <w:r w:rsidRPr="000D5CB8">
        <w:rPr>
          <w:rFonts w:asciiTheme="majorHAnsi" w:eastAsia="Times New Roman" w:hAnsiTheme="majorHAnsi" w:cstheme="majorHAnsi"/>
        </w:rPr>
        <w:t xml:space="preserve">, ed. Eldon Jay Epp, </w:t>
      </w:r>
      <w:proofErr w:type="spellStart"/>
      <w:r w:rsidRPr="000D5CB8">
        <w:rPr>
          <w:rFonts w:asciiTheme="majorHAnsi" w:eastAsia="Times New Roman" w:hAnsiTheme="majorHAnsi" w:cstheme="majorHAnsi"/>
        </w:rPr>
        <w:t>Hermeneia</w:t>
      </w:r>
      <w:proofErr w:type="spellEnd"/>
      <w:r w:rsidRPr="000D5CB8">
        <w:rPr>
          <w:rFonts w:asciiTheme="majorHAnsi" w:eastAsia="Times New Roman" w:hAnsiTheme="majorHAnsi" w:cstheme="majorHAnsi"/>
        </w:rPr>
        <w:t>—a Critical and Historical Commentary on the Bible (Minneapolis, MN: Fortress Press, 1996.</w:t>
      </w:r>
    </w:p>
    <w:p w14:paraId="0DF126CF" w14:textId="77777777" w:rsidR="005E23AC" w:rsidRPr="000D5CB8" w:rsidRDefault="005E23AC" w:rsidP="000D5CB8">
      <w:pPr>
        <w:rPr>
          <w:rFonts w:asciiTheme="majorHAnsi" w:eastAsia="Times New Roman" w:hAnsiTheme="majorHAnsi" w:cstheme="majorHAnsi"/>
        </w:rPr>
      </w:pPr>
    </w:p>
    <w:p w14:paraId="776A9C1A"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Aland, Kurt. </w:t>
      </w:r>
      <w:r w:rsidRPr="000D5CB8">
        <w:rPr>
          <w:rFonts w:asciiTheme="majorHAnsi" w:eastAsia="Times New Roman" w:hAnsiTheme="majorHAnsi" w:cstheme="majorHAnsi"/>
          <w:i/>
        </w:rPr>
        <w:t>A History of Christianity</w:t>
      </w:r>
      <w:r w:rsidRPr="000D5CB8">
        <w:rPr>
          <w:rFonts w:asciiTheme="majorHAnsi" w:eastAsia="Times New Roman" w:hAnsiTheme="majorHAnsi" w:cstheme="majorHAnsi"/>
        </w:rPr>
        <w:t>, Philadelphia: Fortress, 1985.</w:t>
      </w:r>
    </w:p>
    <w:p w14:paraId="4FF38788" w14:textId="77777777" w:rsidR="005E23AC" w:rsidRPr="000D5CB8" w:rsidRDefault="005E23AC" w:rsidP="000D5CB8">
      <w:pPr>
        <w:rPr>
          <w:rFonts w:asciiTheme="majorHAnsi" w:eastAsia="Times New Roman" w:hAnsiTheme="majorHAnsi" w:cstheme="majorHAnsi"/>
        </w:rPr>
      </w:pPr>
    </w:p>
    <w:p w14:paraId="4CA3506F"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Annus, Amar. </w:t>
      </w:r>
      <w:r w:rsidRPr="000D5CB8">
        <w:rPr>
          <w:rFonts w:asciiTheme="majorHAnsi" w:eastAsia="Times New Roman" w:hAnsiTheme="majorHAnsi" w:cstheme="majorHAnsi"/>
          <w:i/>
        </w:rPr>
        <w:t>“On the Origin of the Watchers: A Comparative Study of the Antediluvian Wisdom in Mesopotamian and Jewish Traditions,”</w:t>
      </w:r>
      <w:r w:rsidRPr="000D5CB8">
        <w:rPr>
          <w:rFonts w:asciiTheme="majorHAnsi" w:eastAsia="Times New Roman" w:hAnsiTheme="majorHAnsi" w:cstheme="majorHAnsi"/>
        </w:rPr>
        <w:t xml:space="preserve"> </w:t>
      </w:r>
      <w:r w:rsidRPr="000D5CB8">
        <w:rPr>
          <w:rFonts w:asciiTheme="majorHAnsi" w:eastAsia="Times New Roman" w:hAnsiTheme="majorHAnsi" w:cstheme="majorHAnsi"/>
          <w:i/>
        </w:rPr>
        <w:t>Journal for the Study of the Pseudepigrapha</w:t>
      </w:r>
      <w:r w:rsidRPr="000D5CB8">
        <w:rPr>
          <w:rFonts w:asciiTheme="majorHAnsi" w:eastAsia="Times New Roman" w:hAnsiTheme="majorHAnsi" w:cstheme="majorHAnsi"/>
        </w:rPr>
        <w:t xml:space="preserve"> 19.4, 2010.</w:t>
      </w:r>
    </w:p>
    <w:p w14:paraId="30519EF9" w14:textId="77777777" w:rsidR="005E23AC" w:rsidRPr="000D5CB8" w:rsidRDefault="005E23AC" w:rsidP="000D5CB8">
      <w:pPr>
        <w:rPr>
          <w:rFonts w:asciiTheme="majorHAnsi" w:eastAsia="Times New Roman" w:hAnsiTheme="majorHAnsi" w:cstheme="majorHAnsi"/>
        </w:rPr>
      </w:pPr>
    </w:p>
    <w:p w14:paraId="464C7878"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color w:val="000000"/>
          <w:highlight w:val="white"/>
        </w:rPr>
        <w:t xml:space="preserve">Arndt, William et al. </w:t>
      </w:r>
      <w:r w:rsidRPr="000D5CB8">
        <w:rPr>
          <w:rFonts w:asciiTheme="majorHAnsi" w:eastAsia="Times New Roman" w:hAnsiTheme="majorHAnsi" w:cstheme="majorHAnsi"/>
          <w:i/>
          <w:color w:val="000000"/>
        </w:rPr>
        <w:t xml:space="preserve">A </w:t>
      </w:r>
      <w:proofErr w:type="gramStart"/>
      <w:r w:rsidRPr="000D5CB8">
        <w:rPr>
          <w:rFonts w:asciiTheme="majorHAnsi" w:eastAsia="Times New Roman" w:hAnsiTheme="majorHAnsi" w:cstheme="majorHAnsi"/>
          <w:i/>
          <w:color w:val="000000"/>
        </w:rPr>
        <w:t>Greek-English</w:t>
      </w:r>
      <w:proofErr w:type="gramEnd"/>
      <w:r w:rsidRPr="000D5CB8">
        <w:rPr>
          <w:rFonts w:asciiTheme="majorHAnsi" w:eastAsia="Times New Roman" w:hAnsiTheme="majorHAnsi" w:cstheme="majorHAnsi"/>
          <w:i/>
          <w:color w:val="000000"/>
        </w:rPr>
        <w:t xml:space="preserve"> Lexicon of the New Testament and Other Early Christian Literature</w:t>
      </w:r>
      <w:r w:rsidRPr="000D5CB8">
        <w:rPr>
          <w:rFonts w:asciiTheme="majorHAnsi" w:eastAsia="Times New Roman" w:hAnsiTheme="majorHAnsi" w:cstheme="majorHAnsi"/>
          <w:color w:val="000000"/>
          <w:highlight w:val="white"/>
        </w:rPr>
        <w:t>, Chicago: University of Chicago Press, 2000.</w:t>
      </w:r>
    </w:p>
    <w:p w14:paraId="7EB66E67" w14:textId="77777777" w:rsidR="005E23AC" w:rsidRPr="000D5CB8" w:rsidRDefault="005E23AC" w:rsidP="000D5CB8">
      <w:pPr>
        <w:rPr>
          <w:rFonts w:asciiTheme="majorHAnsi" w:eastAsia="Times New Roman" w:hAnsiTheme="majorHAnsi" w:cstheme="majorHAnsi"/>
        </w:rPr>
      </w:pPr>
    </w:p>
    <w:p w14:paraId="37B66B51"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Arnold, Clinton E. </w:t>
      </w:r>
      <w:r w:rsidRPr="000D5CB8">
        <w:rPr>
          <w:rFonts w:asciiTheme="majorHAnsi" w:eastAsia="Times New Roman" w:hAnsiTheme="majorHAnsi" w:cstheme="majorHAnsi"/>
          <w:i/>
        </w:rPr>
        <w:t>“Returning to the Domain of the Powers: ‘</w:t>
      </w:r>
      <w:proofErr w:type="spellStart"/>
      <w:r w:rsidRPr="000D5CB8">
        <w:rPr>
          <w:rFonts w:asciiTheme="majorHAnsi" w:eastAsia="Times New Roman" w:hAnsiTheme="majorHAnsi" w:cstheme="majorHAnsi"/>
          <w:i/>
        </w:rPr>
        <w:t>Stoicheia</w:t>
      </w:r>
      <w:proofErr w:type="spellEnd"/>
      <w:r w:rsidRPr="000D5CB8">
        <w:rPr>
          <w:rFonts w:asciiTheme="majorHAnsi" w:eastAsia="Times New Roman" w:hAnsiTheme="majorHAnsi" w:cstheme="majorHAnsi"/>
          <w:i/>
        </w:rPr>
        <w:t>’ as Evil Spirits in Galatians 4:3, 9</w:t>
      </w:r>
      <w:r w:rsidRPr="000D5CB8">
        <w:rPr>
          <w:rFonts w:asciiTheme="majorHAnsi" w:eastAsia="Times New Roman" w:hAnsiTheme="majorHAnsi" w:cstheme="majorHAnsi"/>
        </w:rPr>
        <w:t xml:space="preserve">, Novum </w:t>
      </w:r>
      <w:proofErr w:type="spellStart"/>
      <w:r w:rsidRPr="000D5CB8">
        <w:rPr>
          <w:rFonts w:asciiTheme="majorHAnsi" w:eastAsia="Times New Roman" w:hAnsiTheme="majorHAnsi" w:cstheme="majorHAnsi"/>
        </w:rPr>
        <w:t>Testamentum</w:t>
      </w:r>
      <w:proofErr w:type="spellEnd"/>
      <w:r w:rsidRPr="000D5CB8">
        <w:rPr>
          <w:rFonts w:asciiTheme="majorHAnsi" w:eastAsia="Times New Roman" w:hAnsiTheme="majorHAnsi" w:cstheme="majorHAnsi"/>
        </w:rPr>
        <w:t xml:space="preserve"> 38.1, January 1996.</w:t>
      </w:r>
    </w:p>
    <w:p w14:paraId="6C3FCCAD" w14:textId="77777777" w:rsidR="005E23AC" w:rsidRPr="000D5CB8" w:rsidRDefault="005E23AC" w:rsidP="000D5CB8">
      <w:pPr>
        <w:rPr>
          <w:rFonts w:asciiTheme="majorHAnsi" w:eastAsia="Times New Roman" w:hAnsiTheme="majorHAnsi" w:cstheme="majorHAnsi"/>
        </w:rPr>
      </w:pPr>
    </w:p>
    <w:p w14:paraId="669C0946" w14:textId="77777777" w:rsidR="005E23AC" w:rsidRPr="000D5CB8" w:rsidRDefault="006A3099" w:rsidP="000D5CB8">
      <w:pPr>
        <w:pBdr>
          <w:top w:val="nil"/>
          <w:left w:val="nil"/>
          <w:bottom w:val="nil"/>
          <w:right w:val="nil"/>
          <w:between w:val="nil"/>
        </w:pBdr>
        <w:rPr>
          <w:rFonts w:asciiTheme="majorHAnsi" w:eastAsia="Times New Roman" w:hAnsiTheme="majorHAnsi" w:cstheme="majorHAnsi"/>
          <w:color w:val="000000"/>
        </w:rPr>
      </w:pPr>
      <w:r w:rsidRPr="000D5CB8">
        <w:rPr>
          <w:rFonts w:asciiTheme="majorHAnsi" w:eastAsia="Times New Roman" w:hAnsiTheme="majorHAnsi" w:cstheme="majorHAnsi"/>
          <w:color w:val="000000"/>
        </w:rPr>
        <w:t xml:space="preserve">Athenagoras. “A Plea for the Christians.” In </w:t>
      </w:r>
      <w:r w:rsidRPr="000D5CB8">
        <w:rPr>
          <w:rFonts w:asciiTheme="majorHAnsi" w:eastAsia="Times New Roman" w:hAnsiTheme="majorHAnsi" w:cstheme="majorHAnsi"/>
          <w:i/>
          <w:color w:val="000000"/>
        </w:rPr>
        <w:t>Fathers of the Second Century: Hermas, Tatian, Athenagoras, Theophilus, and Clement of Alexandria (Entire)</w:t>
      </w:r>
      <w:r w:rsidRPr="000D5CB8">
        <w:rPr>
          <w:rFonts w:asciiTheme="majorHAnsi" w:eastAsia="Times New Roman" w:hAnsiTheme="majorHAnsi" w:cstheme="majorHAnsi"/>
          <w:color w:val="000000"/>
        </w:rPr>
        <w:t>, edited by Alexander Roberts, James Donaldson, and A. Cleveland Coxe, translated by B</w:t>
      </w:r>
      <w:proofErr w:type="gramStart"/>
      <w:r w:rsidRPr="000D5CB8">
        <w:rPr>
          <w:rFonts w:asciiTheme="majorHAnsi" w:eastAsia="Times New Roman" w:hAnsiTheme="majorHAnsi" w:cstheme="majorHAnsi"/>
          <w:color w:val="000000"/>
        </w:rPr>
        <w:t>. P</w:t>
      </w:r>
      <w:proofErr w:type="gramEnd"/>
      <w:r w:rsidRPr="000D5CB8">
        <w:rPr>
          <w:rFonts w:asciiTheme="majorHAnsi" w:eastAsia="Times New Roman" w:hAnsiTheme="majorHAnsi" w:cstheme="majorHAnsi"/>
          <w:color w:val="000000"/>
        </w:rPr>
        <w:t>. Pratten. Vol. 2. The Ante-Nicene Fathers. Buffalo, NY: Christian Literature Company, 1885.</w:t>
      </w:r>
    </w:p>
    <w:p w14:paraId="0B1CA929" w14:textId="77777777" w:rsidR="005E23AC" w:rsidRPr="000D5CB8" w:rsidRDefault="005E23AC" w:rsidP="000D5CB8">
      <w:pPr>
        <w:rPr>
          <w:rFonts w:asciiTheme="majorHAnsi" w:eastAsia="Times New Roman" w:hAnsiTheme="majorHAnsi" w:cstheme="majorHAnsi"/>
        </w:rPr>
      </w:pPr>
    </w:p>
    <w:p w14:paraId="65923E7E" w14:textId="77777777" w:rsidR="005E23AC" w:rsidRPr="000D5CB8" w:rsidRDefault="006A3099" w:rsidP="000D5CB8">
      <w:pPr>
        <w:rPr>
          <w:rFonts w:asciiTheme="majorHAnsi" w:eastAsia="Times New Roman" w:hAnsiTheme="majorHAnsi" w:cstheme="majorHAnsi"/>
        </w:rPr>
      </w:pPr>
      <w:proofErr w:type="spellStart"/>
      <w:r w:rsidRPr="000D5CB8">
        <w:rPr>
          <w:rFonts w:asciiTheme="majorHAnsi" w:eastAsia="Times New Roman" w:hAnsiTheme="majorHAnsi" w:cstheme="majorHAnsi"/>
        </w:rPr>
        <w:t>Aulen</w:t>
      </w:r>
      <w:proofErr w:type="spellEnd"/>
      <w:r w:rsidRPr="000D5CB8">
        <w:rPr>
          <w:rFonts w:asciiTheme="majorHAnsi" w:eastAsia="Times New Roman" w:hAnsiTheme="majorHAnsi" w:cstheme="majorHAnsi"/>
        </w:rPr>
        <w:t xml:space="preserve">, Gustaf. </w:t>
      </w:r>
      <w:r w:rsidRPr="000D5CB8">
        <w:rPr>
          <w:rFonts w:asciiTheme="majorHAnsi" w:eastAsia="Times New Roman" w:hAnsiTheme="majorHAnsi" w:cstheme="majorHAnsi"/>
          <w:i/>
        </w:rPr>
        <w:t>Christus Victor: An Historical Study of the Three Main Types of the Idea of Atonement</w:t>
      </w:r>
      <w:r w:rsidRPr="000D5CB8">
        <w:rPr>
          <w:rFonts w:asciiTheme="majorHAnsi" w:eastAsia="Times New Roman" w:hAnsiTheme="majorHAnsi" w:cstheme="majorHAnsi"/>
        </w:rPr>
        <w:t>. Translated by A. G. Hebert. Eugene, OR: Wipf &amp; Stock, 2003.</w:t>
      </w:r>
    </w:p>
    <w:p w14:paraId="3674553F" w14:textId="77777777" w:rsidR="005E23AC" w:rsidRPr="000D5CB8" w:rsidRDefault="005E23AC" w:rsidP="000D5CB8">
      <w:pPr>
        <w:rPr>
          <w:rFonts w:asciiTheme="majorHAnsi" w:eastAsia="Times New Roman" w:hAnsiTheme="majorHAnsi" w:cstheme="majorHAnsi"/>
        </w:rPr>
      </w:pPr>
    </w:p>
    <w:p w14:paraId="27F713D3"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Baker, Mark and Joel Green, </w:t>
      </w:r>
      <w:r w:rsidRPr="000D5CB8">
        <w:rPr>
          <w:rFonts w:asciiTheme="majorHAnsi" w:eastAsia="Times New Roman" w:hAnsiTheme="majorHAnsi" w:cstheme="majorHAnsi"/>
          <w:i/>
        </w:rPr>
        <w:t>Recovering the Scandal of the Cross</w:t>
      </w:r>
      <w:r w:rsidRPr="000D5CB8">
        <w:rPr>
          <w:rFonts w:asciiTheme="majorHAnsi" w:eastAsia="Times New Roman" w:hAnsiTheme="majorHAnsi" w:cstheme="majorHAnsi"/>
        </w:rPr>
        <w:t>, Downers Grove, InterVarsity Press, 2011.</w:t>
      </w:r>
    </w:p>
    <w:p w14:paraId="4CC0597F" w14:textId="77777777" w:rsidR="005E23AC" w:rsidRPr="000D5CB8" w:rsidRDefault="005E23AC" w:rsidP="000D5CB8">
      <w:pPr>
        <w:rPr>
          <w:rFonts w:asciiTheme="majorHAnsi" w:eastAsia="Times New Roman" w:hAnsiTheme="majorHAnsi" w:cstheme="majorHAnsi"/>
        </w:rPr>
      </w:pPr>
    </w:p>
    <w:p w14:paraId="0A3640CC" w14:textId="77777777" w:rsidR="005E23AC" w:rsidRPr="000D5CB8" w:rsidRDefault="006A3099" w:rsidP="000D5CB8">
      <w:pPr>
        <w:pBdr>
          <w:top w:val="nil"/>
          <w:left w:val="nil"/>
          <w:bottom w:val="nil"/>
          <w:right w:val="nil"/>
          <w:between w:val="nil"/>
        </w:pBdr>
        <w:rPr>
          <w:rFonts w:asciiTheme="majorHAnsi" w:eastAsia="Times New Roman" w:hAnsiTheme="majorHAnsi" w:cstheme="majorHAnsi"/>
          <w:color w:val="000000"/>
        </w:rPr>
      </w:pPr>
      <w:r w:rsidRPr="000D5CB8">
        <w:rPr>
          <w:rFonts w:asciiTheme="majorHAnsi" w:eastAsia="Times New Roman" w:hAnsiTheme="majorHAnsi" w:cstheme="majorHAnsi"/>
          <w:color w:val="000000"/>
        </w:rPr>
        <w:t xml:space="preserve">Baldwin, Joyce G. </w:t>
      </w:r>
      <w:r w:rsidRPr="000D5CB8">
        <w:rPr>
          <w:rFonts w:asciiTheme="majorHAnsi" w:eastAsia="Times New Roman" w:hAnsiTheme="majorHAnsi" w:cstheme="majorHAnsi"/>
          <w:i/>
          <w:color w:val="000000"/>
        </w:rPr>
        <w:t>Daniel: An Introduction and Commentary</w:t>
      </w:r>
      <w:r w:rsidRPr="000D5CB8">
        <w:rPr>
          <w:rFonts w:asciiTheme="majorHAnsi" w:eastAsia="Times New Roman" w:hAnsiTheme="majorHAnsi" w:cstheme="majorHAnsi"/>
          <w:color w:val="000000"/>
        </w:rPr>
        <w:t>. Vol. 23. Tyndale Old Testament Commentaries, Downers Grove, IL: InterVarsity Press, 1978.</w:t>
      </w:r>
    </w:p>
    <w:p w14:paraId="5E60758D" w14:textId="77777777" w:rsidR="005E23AC" w:rsidRPr="000D5CB8" w:rsidRDefault="005E23AC" w:rsidP="000D5CB8">
      <w:pPr>
        <w:pBdr>
          <w:top w:val="nil"/>
          <w:left w:val="nil"/>
          <w:bottom w:val="nil"/>
          <w:right w:val="nil"/>
          <w:between w:val="nil"/>
        </w:pBdr>
        <w:rPr>
          <w:rFonts w:asciiTheme="majorHAnsi" w:eastAsia="Times New Roman" w:hAnsiTheme="majorHAnsi" w:cstheme="majorHAnsi"/>
          <w:color w:val="000000"/>
        </w:rPr>
      </w:pPr>
    </w:p>
    <w:p w14:paraId="358A78D7" w14:textId="77777777" w:rsidR="005E23AC" w:rsidRPr="000D5CB8" w:rsidRDefault="006A3099" w:rsidP="000D5CB8">
      <w:pPr>
        <w:pBdr>
          <w:top w:val="nil"/>
          <w:left w:val="nil"/>
          <w:bottom w:val="nil"/>
          <w:right w:val="nil"/>
          <w:between w:val="nil"/>
        </w:pBdr>
        <w:rPr>
          <w:rFonts w:asciiTheme="majorHAnsi" w:eastAsia="Times New Roman" w:hAnsiTheme="majorHAnsi" w:cstheme="majorHAnsi"/>
          <w:color w:val="000000"/>
        </w:rPr>
      </w:pPr>
      <w:r w:rsidRPr="000D5CB8">
        <w:rPr>
          <w:rFonts w:asciiTheme="majorHAnsi" w:eastAsia="Times New Roman" w:hAnsiTheme="majorHAnsi" w:cstheme="majorHAnsi"/>
          <w:color w:val="000000"/>
        </w:rPr>
        <w:t xml:space="preserve">Barclay, William </w:t>
      </w:r>
      <w:proofErr w:type="gramStart"/>
      <w:r w:rsidRPr="000D5CB8">
        <w:rPr>
          <w:rFonts w:asciiTheme="majorHAnsi" w:eastAsia="Times New Roman" w:hAnsiTheme="majorHAnsi" w:cstheme="majorHAnsi"/>
          <w:i/>
          <w:color w:val="000000"/>
        </w:rPr>
        <w:t>The</w:t>
      </w:r>
      <w:proofErr w:type="gramEnd"/>
      <w:r w:rsidRPr="000D5CB8">
        <w:rPr>
          <w:rFonts w:asciiTheme="majorHAnsi" w:eastAsia="Times New Roman" w:hAnsiTheme="majorHAnsi" w:cstheme="majorHAnsi"/>
          <w:i/>
          <w:color w:val="000000"/>
        </w:rPr>
        <w:t xml:space="preserve"> Letters to the Corinthians</w:t>
      </w:r>
      <w:r w:rsidRPr="000D5CB8">
        <w:rPr>
          <w:rFonts w:asciiTheme="majorHAnsi" w:eastAsia="Times New Roman" w:hAnsiTheme="majorHAnsi" w:cstheme="majorHAnsi"/>
          <w:color w:val="000000"/>
        </w:rPr>
        <w:t>, 3rd ed., The New Daily Study Bible, Louisville, KY; London: Westminster John Knox Press, 2002.</w:t>
      </w:r>
    </w:p>
    <w:p w14:paraId="1C4AA90C" w14:textId="77777777" w:rsidR="005E23AC" w:rsidRPr="000D5CB8" w:rsidRDefault="005E23AC" w:rsidP="000D5CB8">
      <w:pPr>
        <w:rPr>
          <w:rFonts w:asciiTheme="majorHAnsi" w:eastAsia="Times New Roman" w:hAnsiTheme="majorHAnsi" w:cstheme="majorHAnsi"/>
        </w:rPr>
      </w:pPr>
    </w:p>
    <w:p w14:paraId="7743FC22"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Barth, Karl. </w:t>
      </w:r>
      <w:r w:rsidRPr="000D5CB8">
        <w:rPr>
          <w:rFonts w:asciiTheme="majorHAnsi" w:eastAsia="Times New Roman" w:hAnsiTheme="majorHAnsi" w:cstheme="majorHAnsi"/>
          <w:i/>
        </w:rPr>
        <w:t>A Shorter Commentary on Romans</w:t>
      </w:r>
      <w:r w:rsidRPr="000D5CB8">
        <w:rPr>
          <w:rFonts w:asciiTheme="majorHAnsi" w:eastAsia="Times New Roman" w:hAnsiTheme="majorHAnsi" w:cstheme="majorHAnsi"/>
        </w:rPr>
        <w:t>, Richmond, John Knox, 1959.</w:t>
      </w:r>
    </w:p>
    <w:p w14:paraId="062CAF33" w14:textId="77777777" w:rsidR="005E23AC" w:rsidRPr="000D5CB8" w:rsidRDefault="005E23AC" w:rsidP="000D5CB8">
      <w:pPr>
        <w:rPr>
          <w:rFonts w:asciiTheme="majorHAnsi" w:eastAsia="Times New Roman" w:hAnsiTheme="majorHAnsi" w:cstheme="majorHAnsi"/>
        </w:rPr>
      </w:pPr>
    </w:p>
    <w:p w14:paraId="7B49DAF7" w14:textId="77777777" w:rsidR="005E23AC" w:rsidRPr="000D5CB8" w:rsidRDefault="006A3099" w:rsidP="000D5CB8">
      <w:pPr>
        <w:rPr>
          <w:rFonts w:asciiTheme="majorHAnsi" w:eastAsia="Times New Roman" w:hAnsiTheme="majorHAnsi" w:cstheme="majorHAnsi"/>
        </w:rPr>
      </w:pPr>
      <w:r w:rsidRPr="000D5CB8">
        <w:rPr>
          <w:rFonts w:asciiTheme="majorHAnsi" w:eastAsia="Times New Roman" w:hAnsiTheme="majorHAnsi" w:cstheme="majorHAnsi"/>
        </w:rPr>
        <w:t xml:space="preserve">Bates, Matthew </w:t>
      </w:r>
      <w:r w:rsidRPr="000D5CB8">
        <w:rPr>
          <w:rFonts w:asciiTheme="majorHAnsi" w:eastAsia="Times New Roman" w:hAnsiTheme="majorHAnsi" w:cstheme="majorHAnsi"/>
          <w:i/>
        </w:rPr>
        <w:t>Gospel Allegiance</w:t>
      </w:r>
      <w:r w:rsidRPr="000D5CB8">
        <w:rPr>
          <w:rFonts w:asciiTheme="majorHAnsi" w:eastAsia="Times New Roman" w:hAnsiTheme="majorHAnsi" w:cstheme="majorHAnsi"/>
        </w:rPr>
        <w:t>, Grand Rapids, Brazos, 2019.</w:t>
      </w:r>
    </w:p>
    <w:p w14:paraId="5B6232B6" w14:textId="77777777" w:rsidR="005E23AC" w:rsidRPr="000D5CB8" w:rsidRDefault="005E23AC" w:rsidP="000D5CB8">
      <w:pPr>
        <w:rPr>
          <w:rFonts w:asciiTheme="majorHAnsi" w:eastAsia="Times New Roman" w:hAnsiTheme="majorHAnsi" w:cstheme="majorHAnsi"/>
        </w:rPr>
      </w:pPr>
    </w:p>
    <w:sectPr w:rsidR="005E23AC" w:rsidRPr="000D5CB8" w:rsidSect="00CD20AD">
      <w:footerReference w:type="even" r:id="rId11"/>
      <w:footerReference w:type="default" r:id="rId12"/>
      <w:pgSz w:w="12240" w:h="15840"/>
      <w:pgMar w:top="720" w:right="720" w:bottom="720" w:left="720"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C679D5" w14:textId="77777777" w:rsidR="006A3099" w:rsidRDefault="006A3099">
      <w:r>
        <w:separator/>
      </w:r>
    </w:p>
  </w:endnote>
  <w:endnote w:type="continuationSeparator" w:id="0">
    <w:p w14:paraId="34417428" w14:textId="77777777" w:rsidR="006A3099" w:rsidRDefault="006A3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A4001" w14:textId="77777777" w:rsidR="005E23AC" w:rsidRDefault="006A3099">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2CC63963" w14:textId="77777777" w:rsidR="005E23AC" w:rsidRDefault="006A3099">
    <w:pPr>
      <w:pBdr>
        <w:top w:val="nil"/>
        <w:left w:val="nil"/>
        <w:bottom w:val="nil"/>
        <w:right w:val="nil"/>
        <w:between w:val="nil"/>
      </w:pBdr>
      <w:tabs>
        <w:tab w:val="center" w:pos="4680"/>
        <w:tab w:val="right" w:pos="9360"/>
      </w:tabs>
      <w:ind w:right="360"/>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4B944855" w14:textId="77777777" w:rsidR="005E23AC" w:rsidRDefault="005E23AC">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09A2A" w14:textId="77777777" w:rsidR="005E23AC" w:rsidRDefault="006A3099">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p w14:paraId="17571693" w14:textId="77777777" w:rsidR="005E23AC" w:rsidRDefault="005E23AC">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20AE8D" w14:textId="77777777" w:rsidR="006A3099" w:rsidRDefault="006A3099">
      <w:r>
        <w:separator/>
      </w:r>
    </w:p>
  </w:footnote>
  <w:footnote w:type="continuationSeparator" w:id="0">
    <w:p w14:paraId="71BA27A9" w14:textId="77777777" w:rsidR="006A3099" w:rsidRDefault="006A3099">
      <w:r>
        <w:continuationSeparator/>
      </w:r>
    </w:p>
  </w:footnote>
  <w:footnote w:id="1">
    <w:p w14:paraId="737105AB"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G. K. Beale, </w:t>
      </w:r>
      <w:r>
        <w:rPr>
          <w:rFonts w:ascii="Times New Roman" w:eastAsia="Times New Roman" w:hAnsi="Times New Roman" w:cs="Times New Roman"/>
          <w:i/>
          <w:color w:val="000000"/>
          <w:sz w:val="20"/>
          <w:szCs w:val="20"/>
        </w:rPr>
        <w:t xml:space="preserve">The Erosion of Inerrancy in Evangelicalism: Responding to New Challenges to Biblical Authority </w:t>
      </w:r>
      <w:r>
        <w:rPr>
          <w:rFonts w:ascii="Times New Roman" w:eastAsia="Times New Roman" w:hAnsi="Times New Roman" w:cs="Times New Roman"/>
          <w:color w:val="000000"/>
          <w:sz w:val="20"/>
          <w:szCs w:val="20"/>
        </w:rPr>
        <w:t>(Wheaton: Crossway, 2008), 104</w:t>
      </w:r>
    </w:p>
    <w:p w14:paraId="51F36C87" w14:textId="77777777" w:rsidR="005E23AC" w:rsidRDefault="005E23AC">
      <w:pPr>
        <w:pBdr>
          <w:top w:val="nil"/>
          <w:left w:val="nil"/>
          <w:bottom w:val="nil"/>
          <w:right w:val="nil"/>
          <w:between w:val="nil"/>
        </w:pBdr>
        <w:rPr>
          <w:color w:val="000000"/>
          <w:sz w:val="20"/>
          <w:szCs w:val="20"/>
        </w:rPr>
      </w:pPr>
    </w:p>
  </w:footnote>
  <w:footnote w:id="2">
    <w:p w14:paraId="0297572E" w14:textId="77777777" w:rsidR="005E23AC" w:rsidRDefault="006A3099">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Steven E. Runge, </w:t>
      </w:r>
      <w:r>
        <w:rPr>
          <w:rFonts w:ascii="Times New Roman" w:eastAsia="Times New Roman" w:hAnsi="Times New Roman" w:cs="Times New Roman"/>
          <w:i/>
          <w:sz w:val="20"/>
          <w:szCs w:val="20"/>
        </w:rPr>
        <w:t>High Definition Commentary: Romans</w:t>
      </w:r>
      <w:r>
        <w:rPr>
          <w:rFonts w:ascii="Times New Roman" w:eastAsia="Times New Roman" w:hAnsi="Times New Roman" w:cs="Times New Roman"/>
          <w:sz w:val="20"/>
          <w:szCs w:val="20"/>
        </w:rPr>
        <w:t xml:space="preserve"> (Bellingham, WA: Lexham Press, 2014), 227; 230</w:t>
      </w:r>
    </w:p>
  </w:footnote>
  <w:footnote w:id="3">
    <w:p w14:paraId="02F834EA"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Gregg, Steve, </w:t>
      </w:r>
      <w:r>
        <w:rPr>
          <w:rFonts w:ascii="Times New Roman" w:eastAsia="Times New Roman" w:hAnsi="Times New Roman" w:cs="Times New Roman"/>
          <w:i/>
          <w:color w:val="000000"/>
          <w:sz w:val="20"/>
          <w:szCs w:val="20"/>
        </w:rPr>
        <w:t>Revelation: Four Views Commentary</w:t>
      </w:r>
      <w:r>
        <w:rPr>
          <w:rFonts w:ascii="Times New Roman" w:eastAsia="Times New Roman" w:hAnsi="Times New Roman" w:cs="Times New Roman"/>
          <w:color w:val="000000"/>
          <w:sz w:val="20"/>
          <w:szCs w:val="20"/>
        </w:rPr>
        <w:t>, (Nashville, Thomas Nelson, 2013), 335</w:t>
      </w:r>
    </w:p>
  </w:footnote>
  <w:footnote w:id="4">
    <w:p w14:paraId="0712A724"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See Harold Hunter, </w:t>
      </w:r>
      <w:r>
        <w:rPr>
          <w:rFonts w:ascii="Times New Roman" w:eastAsia="Times New Roman" w:hAnsi="Times New Roman" w:cs="Times New Roman"/>
          <w:i/>
          <w:color w:val="000000"/>
          <w:sz w:val="20"/>
          <w:szCs w:val="20"/>
        </w:rPr>
        <w:t xml:space="preserve">Revelation, </w:t>
      </w:r>
      <w:r>
        <w:rPr>
          <w:rFonts w:ascii="Times New Roman" w:eastAsia="Times New Roman" w:hAnsi="Times New Roman" w:cs="Times New Roman"/>
          <w:color w:val="000000"/>
          <w:sz w:val="20"/>
          <w:szCs w:val="20"/>
        </w:rPr>
        <w:t>(Evansville, IN, Trinity Press, 2002), 13 as an example.</w:t>
      </w:r>
    </w:p>
  </w:footnote>
  <w:footnote w:id="5">
    <w:p w14:paraId="71A2C80B"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Sprinkle, Preston, </w:t>
      </w:r>
      <w:r>
        <w:rPr>
          <w:rFonts w:ascii="Times New Roman" w:eastAsia="Times New Roman" w:hAnsi="Times New Roman" w:cs="Times New Roman"/>
          <w:i/>
          <w:color w:val="000000"/>
          <w:sz w:val="20"/>
          <w:szCs w:val="20"/>
        </w:rPr>
        <w:t>Fight</w:t>
      </w:r>
      <w:r>
        <w:rPr>
          <w:rFonts w:ascii="Times New Roman" w:eastAsia="Times New Roman" w:hAnsi="Times New Roman" w:cs="Times New Roman"/>
          <w:color w:val="000000"/>
          <w:sz w:val="20"/>
          <w:szCs w:val="20"/>
        </w:rPr>
        <w:t>, (Colorado Springs, David C. Cook, 2013), 166-67</w:t>
      </w:r>
    </w:p>
  </w:footnote>
  <w:footnote w:id="6">
    <w:p w14:paraId="0CE13A84"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https://www.washingtonpost.com/news/acts-of-faith/wp/2018/06/14/jeff-sessions-points-to-the-bible-in-defense-of-separating-immigrant-families/</w:t>
      </w:r>
    </w:p>
  </w:footnote>
  <w:footnote w:id="7">
    <w:p w14:paraId="378E863D"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https://www.washingtonpost.com/news/acts-of-faith/wp/2018/06/14/jeff-sessions-points-to-the-bible-in-defense-of-separating-immigrant-families/</w:t>
      </w:r>
    </w:p>
  </w:footnote>
  <w:footnote w:id="8">
    <w:p w14:paraId="71C0930C"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Origin, </w:t>
      </w:r>
      <w:r>
        <w:rPr>
          <w:rFonts w:ascii="Times New Roman" w:eastAsia="Times New Roman" w:hAnsi="Times New Roman" w:cs="Times New Roman"/>
          <w:i/>
          <w:color w:val="000000"/>
          <w:sz w:val="20"/>
          <w:szCs w:val="20"/>
        </w:rPr>
        <w:t>Commentary on Romans</w:t>
      </w:r>
      <w:r>
        <w:rPr>
          <w:rFonts w:ascii="Times New Roman" w:eastAsia="Times New Roman" w:hAnsi="Times New Roman" w:cs="Times New Roman"/>
          <w:color w:val="000000"/>
          <w:sz w:val="20"/>
          <w:szCs w:val="20"/>
        </w:rPr>
        <w:t>, 9.25.1-2</w:t>
      </w:r>
    </w:p>
  </w:footnote>
  <w:footnote w:id="9">
    <w:p w14:paraId="03D618BE"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Origin, </w:t>
      </w:r>
      <w:r>
        <w:rPr>
          <w:rFonts w:ascii="Times New Roman" w:eastAsia="Times New Roman" w:hAnsi="Times New Roman" w:cs="Times New Roman"/>
          <w:i/>
          <w:color w:val="000000"/>
          <w:sz w:val="20"/>
          <w:szCs w:val="20"/>
        </w:rPr>
        <w:t>Romans</w:t>
      </w:r>
      <w:r>
        <w:rPr>
          <w:rFonts w:ascii="Times New Roman" w:eastAsia="Times New Roman" w:hAnsi="Times New Roman" w:cs="Times New Roman"/>
          <w:color w:val="000000"/>
          <w:sz w:val="20"/>
          <w:szCs w:val="20"/>
        </w:rPr>
        <w:t>, 9.26</w:t>
      </w:r>
    </w:p>
  </w:footnote>
  <w:footnote w:id="10">
    <w:p w14:paraId="477FDB5C" w14:textId="77777777" w:rsidR="005E23AC" w:rsidRDefault="006A3099">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David W. Bercot, ed., “Church and State,” </w:t>
      </w:r>
      <w:r>
        <w:rPr>
          <w:rFonts w:ascii="Times New Roman" w:eastAsia="Times New Roman" w:hAnsi="Times New Roman" w:cs="Times New Roman"/>
          <w:i/>
          <w:sz w:val="20"/>
          <w:szCs w:val="20"/>
        </w:rPr>
        <w:t>A Dictionary of Early Christian Beliefs: A Reference Guide to More than 700 Topics Discussed by the Early Church Fathers</w:t>
      </w:r>
      <w:r>
        <w:rPr>
          <w:rFonts w:ascii="Times New Roman" w:eastAsia="Times New Roman" w:hAnsi="Times New Roman" w:cs="Times New Roman"/>
          <w:sz w:val="20"/>
          <w:szCs w:val="20"/>
        </w:rPr>
        <w:t xml:space="preserve"> (Peabody, MA: Hendrickson Publishers, 1998), 153–154.</w:t>
      </w:r>
    </w:p>
  </w:footnote>
  <w:footnote w:id="11">
    <w:p w14:paraId="0F0F23F4" w14:textId="77777777" w:rsidR="005E23AC" w:rsidRDefault="006A3099">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David W. Bercot, ed., “Church and State,” </w:t>
      </w:r>
      <w:r>
        <w:rPr>
          <w:rFonts w:ascii="Times New Roman" w:eastAsia="Times New Roman" w:hAnsi="Times New Roman" w:cs="Times New Roman"/>
          <w:i/>
          <w:sz w:val="20"/>
          <w:szCs w:val="20"/>
        </w:rPr>
        <w:t>A Dictionary of Early Christian Beliefs: A Reference Guide to More than 700 Topics Discussed by the Early Church Fathers</w:t>
      </w:r>
      <w:r>
        <w:rPr>
          <w:rFonts w:ascii="Times New Roman" w:eastAsia="Times New Roman" w:hAnsi="Times New Roman" w:cs="Times New Roman"/>
          <w:sz w:val="20"/>
          <w:szCs w:val="20"/>
        </w:rPr>
        <w:t xml:space="preserve"> (Peabody, MA: Hendrickson Publishers, 1998), 154.</w:t>
      </w:r>
    </w:p>
  </w:footnote>
  <w:footnote w:id="12">
    <w:p w14:paraId="52E2FEB6" w14:textId="77777777" w:rsidR="005E23AC" w:rsidRDefault="006A3099">
      <w:r>
        <w:rPr>
          <w:vertAlign w:val="superscript"/>
        </w:rPr>
        <w:footnoteRef/>
      </w:r>
      <w:r>
        <w:rPr>
          <w:rFonts w:ascii="Times New Roman" w:eastAsia="Times New Roman" w:hAnsi="Times New Roman" w:cs="Times New Roman"/>
          <w:sz w:val="20"/>
          <w:szCs w:val="20"/>
        </w:rPr>
        <w:t xml:space="preserve"> David W. Bercot, ed., “Church and State,” </w:t>
      </w:r>
      <w:r>
        <w:rPr>
          <w:rFonts w:ascii="Times New Roman" w:eastAsia="Times New Roman" w:hAnsi="Times New Roman" w:cs="Times New Roman"/>
          <w:i/>
          <w:sz w:val="20"/>
          <w:szCs w:val="20"/>
        </w:rPr>
        <w:t>A Dictionary of Early Christian Beliefs: A Reference Guide to More than 700 Topics Discussed by the Early Church Fathers</w:t>
      </w:r>
      <w:r>
        <w:rPr>
          <w:rFonts w:ascii="Times New Roman" w:eastAsia="Times New Roman" w:hAnsi="Times New Roman" w:cs="Times New Roman"/>
          <w:sz w:val="20"/>
          <w:szCs w:val="20"/>
        </w:rPr>
        <w:t xml:space="preserve"> (Peabody, MA: Hendrickson Publishers, 1998), 154.</w:t>
      </w:r>
    </w:p>
  </w:footnote>
  <w:footnote w:id="13">
    <w:p w14:paraId="6952795C" w14:textId="77777777" w:rsidR="005E23AC" w:rsidRDefault="006A3099">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David W. Bercot, ed., “War,” </w:t>
      </w:r>
      <w:r>
        <w:rPr>
          <w:rFonts w:ascii="Times New Roman" w:eastAsia="Times New Roman" w:hAnsi="Times New Roman" w:cs="Times New Roman"/>
          <w:i/>
          <w:sz w:val="20"/>
          <w:szCs w:val="20"/>
        </w:rPr>
        <w:t>A Dictionary of Early Christian Beliefs: A Reference Guide to More than 700 Topics Discussed by the Early Church Fathers</w:t>
      </w:r>
      <w:r>
        <w:rPr>
          <w:rFonts w:ascii="Times New Roman" w:eastAsia="Times New Roman" w:hAnsi="Times New Roman" w:cs="Times New Roman"/>
          <w:sz w:val="20"/>
          <w:szCs w:val="20"/>
        </w:rPr>
        <w:t xml:space="preserve"> (Peabody, MA: Hendrickson Publishers, 1998), 680.</w:t>
      </w:r>
    </w:p>
  </w:footnote>
  <w:footnote w:id="14">
    <w:p w14:paraId="1C06B82F"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Reasoner, Mark, </w:t>
      </w:r>
      <w:r>
        <w:rPr>
          <w:rFonts w:ascii="Times New Roman" w:eastAsia="Times New Roman" w:hAnsi="Times New Roman" w:cs="Times New Roman"/>
          <w:i/>
          <w:color w:val="000000"/>
          <w:sz w:val="20"/>
          <w:szCs w:val="20"/>
        </w:rPr>
        <w:t>Romans in Full Circle</w:t>
      </w:r>
      <w:r>
        <w:rPr>
          <w:rFonts w:ascii="Times New Roman" w:eastAsia="Times New Roman" w:hAnsi="Times New Roman" w:cs="Times New Roman"/>
          <w:color w:val="000000"/>
          <w:sz w:val="20"/>
          <w:szCs w:val="20"/>
        </w:rPr>
        <w:t>, (Louisville, Westminster, 2005), 130</w:t>
      </w:r>
    </w:p>
  </w:footnote>
  <w:footnote w:id="15">
    <w:p w14:paraId="48D49CEB"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Origin [Trans. By Rowan Greer], </w:t>
      </w:r>
      <w:r>
        <w:rPr>
          <w:rFonts w:ascii="Times New Roman" w:eastAsia="Times New Roman" w:hAnsi="Times New Roman" w:cs="Times New Roman"/>
          <w:i/>
          <w:color w:val="000000"/>
          <w:sz w:val="20"/>
          <w:szCs w:val="20"/>
        </w:rPr>
        <w:t>Exhortation to Martyrdom</w:t>
      </w:r>
      <w:r>
        <w:rPr>
          <w:rFonts w:ascii="Times New Roman" w:eastAsia="Times New Roman" w:hAnsi="Times New Roman" w:cs="Times New Roman"/>
          <w:color w:val="000000"/>
          <w:sz w:val="20"/>
          <w:szCs w:val="20"/>
        </w:rPr>
        <w:t>, (New York, Paulist Press, 1979), 42</w:t>
      </w:r>
    </w:p>
  </w:footnote>
  <w:footnote w:id="16">
    <w:p w14:paraId="1F94C5E7"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Origin, </w:t>
      </w:r>
      <w:r>
        <w:rPr>
          <w:rFonts w:ascii="Times New Roman" w:eastAsia="Times New Roman" w:hAnsi="Times New Roman" w:cs="Times New Roman"/>
          <w:i/>
          <w:color w:val="000000"/>
          <w:sz w:val="20"/>
          <w:szCs w:val="20"/>
        </w:rPr>
        <w:t>Romans</w:t>
      </w:r>
      <w:r>
        <w:rPr>
          <w:rFonts w:ascii="Times New Roman" w:eastAsia="Times New Roman" w:hAnsi="Times New Roman" w:cs="Times New Roman"/>
          <w:color w:val="000000"/>
          <w:sz w:val="20"/>
          <w:szCs w:val="20"/>
        </w:rPr>
        <w:t>, 9.30.3-4</w:t>
      </w:r>
    </w:p>
  </w:footnote>
  <w:footnote w:id="17">
    <w:p w14:paraId="2979034A" w14:textId="77777777" w:rsidR="005E23AC" w:rsidRDefault="006A3099">
      <w:pPr>
        <w:rPr>
          <w:sz w:val="20"/>
          <w:szCs w:val="20"/>
        </w:rPr>
      </w:pPr>
      <w:r>
        <w:rPr>
          <w:vertAlign w:val="superscript"/>
        </w:rPr>
        <w:footnoteRef/>
      </w:r>
      <w:r>
        <w:rPr>
          <w:rFonts w:ascii="Times New Roman" w:eastAsia="Times New Roman" w:hAnsi="Times New Roman" w:cs="Times New Roman"/>
          <w:sz w:val="20"/>
          <w:szCs w:val="20"/>
        </w:rPr>
        <w:t xml:space="preserve"> David W. Bercot, ed., “Church and State,” </w:t>
      </w:r>
      <w:r>
        <w:rPr>
          <w:rFonts w:ascii="Times New Roman" w:eastAsia="Times New Roman" w:hAnsi="Times New Roman" w:cs="Times New Roman"/>
          <w:i/>
          <w:sz w:val="20"/>
          <w:szCs w:val="20"/>
        </w:rPr>
        <w:t>A Dictionary of Early Christian Beliefs: A Reference Guide to More than 700 Topics Discussed by the Early Church Fathers</w:t>
      </w:r>
      <w:r>
        <w:rPr>
          <w:rFonts w:ascii="Times New Roman" w:eastAsia="Times New Roman" w:hAnsi="Times New Roman" w:cs="Times New Roman"/>
          <w:sz w:val="20"/>
          <w:szCs w:val="20"/>
        </w:rPr>
        <w:t xml:space="preserve"> (Peabody, MA: Hendrickson Publishers, 1998), 153.</w:t>
      </w:r>
    </w:p>
  </w:footnote>
  <w:footnote w:id="18">
    <w:p w14:paraId="227FF597" w14:textId="77777777" w:rsidR="005E23AC" w:rsidRDefault="006A3099">
      <w:pPr>
        <w:rPr>
          <w:rFonts w:ascii="Times New Roman" w:eastAsia="Times New Roman" w:hAnsi="Times New Roman" w:cs="Times New Roman"/>
        </w:rPr>
      </w:pPr>
      <w:r>
        <w:rPr>
          <w:vertAlign w:val="superscript"/>
        </w:rPr>
        <w:footnoteRef/>
      </w:r>
      <w:r>
        <w:rPr>
          <w:rFonts w:ascii="Times New Roman" w:eastAsia="Times New Roman" w:hAnsi="Times New Roman" w:cs="Times New Roman"/>
          <w:sz w:val="20"/>
          <w:szCs w:val="20"/>
        </w:rPr>
        <w:t xml:space="preserve"> David W. Bercot, ed., “Church and State,” </w:t>
      </w:r>
      <w:r>
        <w:rPr>
          <w:rFonts w:ascii="Times New Roman" w:eastAsia="Times New Roman" w:hAnsi="Times New Roman" w:cs="Times New Roman"/>
          <w:i/>
          <w:sz w:val="20"/>
          <w:szCs w:val="20"/>
        </w:rPr>
        <w:t>A Dictionary of Early Christian Beliefs: A Reference Guide to More than 700 Topics Discussed by the Early Church Fathers</w:t>
      </w:r>
      <w:r>
        <w:rPr>
          <w:rFonts w:ascii="Times New Roman" w:eastAsia="Times New Roman" w:hAnsi="Times New Roman" w:cs="Times New Roman"/>
          <w:sz w:val="20"/>
          <w:szCs w:val="20"/>
        </w:rPr>
        <w:t xml:space="preserve"> (Peabody, MA: Hendrickson Publishers, 1998), 153.</w:t>
      </w:r>
    </w:p>
  </w:footnote>
  <w:footnote w:id="19">
    <w:p w14:paraId="21FD752E"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Augustine, </w:t>
      </w:r>
      <w:r>
        <w:rPr>
          <w:rFonts w:ascii="Times New Roman" w:eastAsia="Times New Roman" w:hAnsi="Times New Roman" w:cs="Times New Roman"/>
          <w:i/>
          <w:color w:val="000000"/>
          <w:sz w:val="20"/>
          <w:szCs w:val="20"/>
        </w:rPr>
        <w:t>Commentary on Statements in the Letter to the Romans</w:t>
      </w:r>
      <w:r>
        <w:rPr>
          <w:rFonts w:ascii="Times New Roman" w:eastAsia="Times New Roman" w:hAnsi="Times New Roman" w:cs="Times New Roman"/>
          <w:color w:val="000000"/>
          <w:sz w:val="20"/>
          <w:szCs w:val="20"/>
        </w:rPr>
        <w:t>, 72</w:t>
      </w:r>
    </w:p>
  </w:footnote>
  <w:footnote w:id="20">
    <w:p w14:paraId="13851897" w14:textId="77777777" w:rsidR="005E23AC" w:rsidRDefault="006A3099">
      <w:pPr>
        <w:rPr>
          <w:sz w:val="20"/>
          <w:szCs w:val="20"/>
        </w:rPr>
      </w:pPr>
      <w:r>
        <w:rPr>
          <w:vertAlign w:val="superscript"/>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sz w:val="20"/>
          <w:szCs w:val="20"/>
        </w:rPr>
        <w:t>Yoder, John H., "Is There Such a Thing as Being Ready for Another Millennium?." In Miroslav Volf; Carmen Krieg; Thomas Kucharz (eds.).</w:t>
      </w:r>
      <w:r>
        <w:rPr>
          <w:rFonts w:ascii="Times New Roman" w:eastAsia="Times New Roman" w:hAnsi="Times New Roman" w:cs="Times New Roman"/>
          <w:sz w:val="18"/>
          <w:szCs w:val="18"/>
        </w:rPr>
        <w:t xml:space="preserve">  </w:t>
      </w:r>
      <w:r>
        <w:rPr>
          <w:rFonts w:ascii="Times New Roman" w:eastAsia="Times New Roman" w:hAnsi="Times New Roman" w:cs="Times New Roman"/>
          <w:i/>
          <w:sz w:val="20"/>
          <w:szCs w:val="20"/>
        </w:rPr>
        <w:t>The Future of Theology: Essays in Honor of Jurgen Moltmann</w:t>
      </w:r>
      <w:r>
        <w:rPr>
          <w:rFonts w:ascii="Times New Roman" w:eastAsia="Times New Roman" w:hAnsi="Times New Roman" w:cs="Times New Roman"/>
          <w:sz w:val="20"/>
          <w:szCs w:val="20"/>
        </w:rPr>
        <w:t>. Eerdmans., 65. “The most impressive transitory change underlying our common experience, one that some thought was a permanent lunge forward in salvation history, was the so-called Constantinian shift.”</w:t>
      </w:r>
    </w:p>
  </w:footnote>
  <w:footnote w:id="21">
    <w:p w14:paraId="740D1924"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Eusebius, </w:t>
      </w:r>
      <w:r>
        <w:rPr>
          <w:rFonts w:ascii="Times New Roman" w:eastAsia="Times New Roman" w:hAnsi="Times New Roman" w:cs="Times New Roman"/>
          <w:i/>
          <w:color w:val="000000"/>
          <w:sz w:val="20"/>
          <w:szCs w:val="20"/>
        </w:rPr>
        <w:t>Life of Constantine I</w:t>
      </w:r>
      <w:r>
        <w:rPr>
          <w:rFonts w:ascii="Times New Roman" w:eastAsia="Times New Roman" w:hAnsi="Times New Roman" w:cs="Times New Roman"/>
          <w:color w:val="000000"/>
          <w:sz w:val="20"/>
          <w:szCs w:val="20"/>
        </w:rPr>
        <w:t>, 28</w:t>
      </w:r>
    </w:p>
  </w:footnote>
  <w:footnote w:id="22">
    <w:p w14:paraId="358A7470"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Will Durant, </w:t>
      </w:r>
      <w:r>
        <w:rPr>
          <w:rFonts w:ascii="Times New Roman" w:eastAsia="Times New Roman" w:hAnsi="Times New Roman" w:cs="Times New Roman"/>
          <w:i/>
          <w:color w:val="000000"/>
          <w:sz w:val="20"/>
          <w:szCs w:val="20"/>
        </w:rPr>
        <w:t>Christ and Caesar</w:t>
      </w:r>
      <w:r>
        <w:rPr>
          <w:rFonts w:ascii="Times New Roman" w:eastAsia="Times New Roman" w:hAnsi="Times New Roman" w:cs="Times New Roman"/>
          <w:color w:val="000000"/>
          <w:sz w:val="20"/>
          <w:szCs w:val="20"/>
        </w:rPr>
        <w:t>, (MJF, New York, 1971), 654</w:t>
      </w:r>
    </w:p>
  </w:footnote>
  <w:footnote w:id="23">
    <w:p w14:paraId="1BA1B7FE"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Lactantius, </w:t>
      </w:r>
      <w:r>
        <w:rPr>
          <w:rFonts w:ascii="Times New Roman" w:eastAsia="Times New Roman" w:hAnsi="Times New Roman" w:cs="Times New Roman"/>
          <w:i/>
          <w:color w:val="000000"/>
          <w:sz w:val="20"/>
          <w:szCs w:val="20"/>
        </w:rPr>
        <w:t>De Mortibus xliv</w:t>
      </w:r>
      <w:r>
        <w:rPr>
          <w:rFonts w:ascii="Times New Roman" w:eastAsia="Times New Roman" w:hAnsi="Times New Roman" w:cs="Times New Roman"/>
          <w:color w:val="000000"/>
          <w:sz w:val="20"/>
          <w:szCs w:val="20"/>
        </w:rPr>
        <w:t>, 5</w:t>
      </w:r>
    </w:p>
  </w:footnote>
  <w:footnote w:id="24">
    <w:p w14:paraId="261C53CE"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Durant, </w:t>
      </w:r>
      <w:r>
        <w:rPr>
          <w:rFonts w:ascii="Times New Roman" w:eastAsia="Times New Roman" w:hAnsi="Times New Roman" w:cs="Times New Roman"/>
          <w:i/>
          <w:color w:val="000000"/>
          <w:sz w:val="20"/>
          <w:szCs w:val="20"/>
        </w:rPr>
        <w:t>Christ and Caesar</w:t>
      </w:r>
      <w:r>
        <w:rPr>
          <w:rFonts w:ascii="Times New Roman" w:eastAsia="Times New Roman" w:hAnsi="Times New Roman" w:cs="Times New Roman"/>
          <w:color w:val="000000"/>
          <w:sz w:val="20"/>
          <w:szCs w:val="20"/>
        </w:rPr>
        <w:t>, 654</w:t>
      </w:r>
    </w:p>
  </w:footnote>
  <w:footnote w:id="25">
    <w:p w14:paraId="27C7D915"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This </w:t>
      </w:r>
      <w:r>
        <w:rPr>
          <w:rFonts w:ascii="Times New Roman" w:eastAsia="Times New Roman" w:hAnsi="Times New Roman" w:cs="Times New Roman"/>
          <w:sz w:val="20"/>
          <w:szCs w:val="20"/>
        </w:rPr>
        <w:t>was part</w:t>
      </w:r>
      <w:r>
        <w:rPr>
          <w:rFonts w:ascii="Times New Roman" w:eastAsia="Times New Roman" w:hAnsi="Times New Roman" w:cs="Times New Roman"/>
          <w:color w:val="000000"/>
          <w:sz w:val="20"/>
          <w:szCs w:val="20"/>
        </w:rPr>
        <w:t xml:space="preserve"> of the purpose for the Nicaean Council, called by Constantine, to get the church and the empire on the same page</w:t>
      </w:r>
      <w:r>
        <w:rPr>
          <w:rFonts w:ascii="Times New Roman" w:eastAsia="Times New Roman" w:hAnsi="Times New Roman" w:cs="Times New Roman"/>
          <w:sz w:val="20"/>
          <w:szCs w:val="20"/>
        </w:rPr>
        <w:t>. T</w:t>
      </w:r>
      <w:r>
        <w:rPr>
          <w:rFonts w:ascii="Times New Roman" w:eastAsia="Times New Roman" w:hAnsi="Times New Roman" w:cs="Times New Roman"/>
          <w:color w:val="000000"/>
          <w:sz w:val="20"/>
          <w:szCs w:val="20"/>
        </w:rPr>
        <w:t>hough some good did come from it, it’s foundational motivations on Constantine’s part were likely political and not theological.</w:t>
      </w:r>
      <w:r>
        <w:rPr>
          <w:color w:val="000000"/>
          <w:sz w:val="20"/>
          <w:szCs w:val="20"/>
        </w:rPr>
        <w:t xml:space="preserve"> </w:t>
      </w:r>
    </w:p>
  </w:footnote>
  <w:footnote w:id="26">
    <w:p w14:paraId="38DFCCE7"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Durant, </w:t>
      </w:r>
      <w:r>
        <w:rPr>
          <w:rFonts w:ascii="Times New Roman" w:eastAsia="Times New Roman" w:hAnsi="Times New Roman" w:cs="Times New Roman"/>
          <w:i/>
          <w:color w:val="000000"/>
          <w:sz w:val="20"/>
          <w:szCs w:val="20"/>
        </w:rPr>
        <w:t>Christ and Caesar</w:t>
      </w:r>
      <w:r>
        <w:rPr>
          <w:rFonts w:ascii="Times New Roman" w:eastAsia="Times New Roman" w:hAnsi="Times New Roman" w:cs="Times New Roman"/>
          <w:color w:val="000000"/>
          <w:sz w:val="20"/>
          <w:szCs w:val="20"/>
        </w:rPr>
        <w:t>, 656</w:t>
      </w:r>
    </w:p>
  </w:footnote>
  <w:footnote w:id="27">
    <w:p w14:paraId="7CC47E53"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Durant, </w:t>
      </w:r>
      <w:r>
        <w:rPr>
          <w:rFonts w:ascii="Times New Roman" w:eastAsia="Times New Roman" w:hAnsi="Times New Roman" w:cs="Times New Roman"/>
          <w:i/>
          <w:color w:val="000000"/>
          <w:sz w:val="20"/>
          <w:szCs w:val="20"/>
        </w:rPr>
        <w:t>Christ and Caesar</w:t>
      </w:r>
      <w:r>
        <w:rPr>
          <w:rFonts w:ascii="Times New Roman" w:eastAsia="Times New Roman" w:hAnsi="Times New Roman" w:cs="Times New Roman"/>
          <w:color w:val="000000"/>
          <w:sz w:val="20"/>
          <w:szCs w:val="20"/>
        </w:rPr>
        <w:t>, 656</w:t>
      </w:r>
    </w:p>
  </w:footnote>
  <w:footnote w:id="28">
    <w:p w14:paraId="192F3023"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Durant, </w:t>
      </w:r>
      <w:r>
        <w:rPr>
          <w:rFonts w:ascii="Times New Roman" w:eastAsia="Times New Roman" w:hAnsi="Times New Roman" w:cs="Times New Roman"/>
          <w:i/>
          <w:color w:val="000000"/>
          <w:sz w:val="20"/>
          <w:szCs w:val="20"/>
        </w:rPr>
        <w:t>Christ and Caesar</w:t>
      </w:r>
      <w:r>
        <w:rPr>
          <w:rFonts w:ascii="Times New Roman" w:eastAsia="Times New Roman" w:hAnsi="Times New Roman" w:cs="Times New Roman"/>
          <w:color w:val="000000"/>
          <w:sz w:val="20"/>
          <w:szCs w:val="20"/>
        </w:rPr>
        <w:t>, 656</w:t>
      </w:r>
    </w:p>
  </w:footnote>
  <w:footnote w:id="29">
    <w:p w14:paraId="42567D77"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Durant, </w:t>
      </w:r>
      <w:r>
        <w:rPr>
          <w:rFonts w:ascii="Times New Roman" w:eastAsia="Times New Roman" w:hAnsi="Times New Roman" w:cs="Times New Roman"/>
          <w:i/>
          <w:color w:val="000000"/>
          <w:sz w:val="20"/>
          <w:szCs w:val="20"/>
        </w:rPr>
        <w:t>Christ and Caesar</w:t>
      </w:r>
      <w:r>
        <w:rPr>
          <w:rFonts w:ascii="Times New Roman" w:eastAsia="Times New Roman" w:hAnsi="Times New Roman" w:cs="Times New Roman"/>
          <w:color w:val="000000"/>
          <w:sz w:val="20"/>
          <w:szCs w:val="20"/>
        </w:rPr>
        <w:t xml:space="preserve">, 657; Keith Giles, </w:t>
      </w:r>
      <w:r>
        <w:rPr>
          <w:rFonts w:ascii="Times New Roman" w:eastAsia="Times New Roman" w:hAnsi="Times New Roman" w:cs="Times New Roman"/>
          <w:i/>
          <w:color w:val="000000"/>
          <w:sz w:val="20"/>
          <w:szCs w:val="20"/>
        </w:rPr>
        <w:t xml:space="preserve">Jesus Untangled, </w:t>
      </w:r>
      <w:r>
        <w:rPr>
          <w:rFonts w:ascii="Times New Roman" w:eastAsia="Times New Roman" w:hAnsi="Times New Roman" w:cs="Times New Roman"/>
          <w:color w:val="000000"/>
          <w:sz w:val="20"/>
          <w:szCs w:val="20"/>
        </w:rPr>
        <w:t>115</w:t>
      </w:r>
    </w:p>
  </w:footnote>
  <w:footnote w:id="30">
    <w:p w14:paraId="0B181467"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See Daniel Paradis, </w:t>
      </w:r>
      <w:r>
        <w:rPr>
          <w:rFonts w:ascii="Times New Roman" w:eastAsia="Times New Roman" w:hAnsi="Times New Roman" w:cs="Times New Roman"/>
          <w:i/>
          <w:color w:val="000000"/>
          <w:sz w:val="20"/>
          <w:szCs w:val="20"/>
        </w:rPr>
        <w:t>The Christianization of the Roman Empire Under Constantine</w:t>
      </w:r>
      <w:r>
        <w:rPr>
          <w:rFonts w:ascii="Times New Roman" w:eastAsia="Times New Roman" w:hAnsi="Times New Roman" w:cs="Times New Roman"/>
          <w:color w:val="000000"/>
          <w:sz w:val="20"/>
          <w:szCs w:val="20"/>
        </w:rPr>
        <w:t xml:space="preserve">, (Georgetown University, 1997). Paradis offers a thorough treatment of the pagan and Christian views of Constantine and his politics. He notes in his conclusion, “The conditions within the empire from 312 onwards led to the politicization of Constantine’s religion and association with the god Sol by pagans and Christians alike. Constantine presented himself as a typical Roman emperor in his building projects, coinage, and personal interactions.” (68)  </w:t>
      </w:r>
    </w:p>
  </w:footnote>
  <w:footnote w:id="31">
    <w:p w14:paraId="35D3628C"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Durant, </w:t>
      </w:r>
      <w:r>
        <w:rPr>
          <w:rFonts w:ascii="Times New Roman" w:eastAsia="Times New Roman" w:hAnsi="Times New Roman" w:cs="Times New Roman"/>
          <w:i/>
          <w:color w:val="000000"/>
          <w:sz w:val="20"/>
          <w:szCs w:val="20"/>
        </w:rPr>
        <w:t>Christ and Caesar</w:t>
      </w:r>
      <w:r>
        <w:rPr>
          <w:rFonts w:ascii="Times New Roman" w:eastAsia="Times New Roman" w:hAnsi="Times New Roman" w:cs="Times New Roman"/>
          <w:color w:val="000000"/>
          <w:sz w:val="20"/>
          <w:szCs w:val="20"/>
        </w:rPr>
        <w:t>, 656</w:t>
      </w:r>
    </w:p>
  </w:footnote>
  <w:footnote w:id="32">
    <w:p w14:paraId="0978785E"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For alternative approaches to this interpretation of Constantinian history see Peter Leithart, </w:t>
      </w:r>
      <w:r>
        <w:rPr>
          <w:rFonts w:ascii="Times New Roman" w:eastAsia="Times New Roman" w:hAnsi="Times New Roman" w:cs="Times New Roman"/>
          <w:i/>
          <w:color w:val="000000"/>
          <w:sz w:val="20"/>
          <w:szCs w:val="20"/>
        </w:rPr>
        <w:t xml:space="preserve">Defending Constantine. </w:t>
      </w:r>
      <w:r>
        <w:rPr>
          <w:rFonts w:ascii="Times New Roman" w:eastAsia="Times New Roman" w:hAnsi="Times New Roman" w:cs="Times New Roman"/>
          <w:color w:val="000000"/>
          <w:sz w:val="20"/>
          <w:szCs w:val="20"/>
        </w:rPr>
        <w:t xml:space="preserve">Though I find the arguments against Yoder’s interpretation in this book lacking which Jon Nugent points out well in his article in </w:t>
      </w:r>
      <w:r>
        <w:rPr>
          <w:rFonts w:ascii="Times New Roman" w:eastAsia="Times New Roman" w:hAnsi="Times New Roman" w:cs="Times New Roman"/>
          <w:i/>
          <w:color w:val="000000"/>
          <w:sz w:val="20"/>
          <w:szCs w:val="20"/>
        </w:rPr>
        <w:t xml:space="preserve">Constantine Revisited, </w:t>
      </w:r>
      <w:r>
        <w:rPr>
          <w:rFonts w:ascii="Times New Roman" w:eastAsia="Times New Roman" w:hAnsi="Times New Roman" w:cs="Times New Roman"/>
          <w:color w:val="000000"/>
          <w:sz w:val="20"/>
          <w:szCs w:val="20"/>
        </w:rPr>
        <w:t>15-56.</w:t>
      </w:r>
      <w:r>
        <w:rPr>
          <w:rFonts w:ascii="Times New Roman" w:eastAsia="Times New Roman" w:hAnsi="Times New Roman" w:cs="Times New Roman"/>
          <w:i/>
          <w:color w:val="000000"/>
          <w:sz w:val="20"/>
          <w:szCs w:val="20"/>
        </w:rPr>
        <w:t xml:space="preserve"> </w:t>
      </w:r>
    </w:p>
  </w:footnote>
  <w:footnote w:id="33">
    <w:p w14:paraId="6DAE6A04"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Leithart, </w:t>
      </w:r>
      <w:r>
        <w:rPr>
          <w:rFonts w:ascii="Times New Roman" w:eastAsia="Times New Roman" w:hAnsi="Times New Roman" w:cs="Times New Roman"/>
          <w:i/>
          <w:color w:val="000000"/>
          <w:sz w:val="20"/>
          <w:szCs w:val="20"/>
        </w:rPr>
        <w:t xml:space="preserve">Defending Constantine, </w:t>
      </w:r>
      <w:r>
        <w:rPr>
          <w:rFonts w:ascii="Times New Roman" w:eastAsia="Times New Roman" w:hAnsi="Times New Roman" w:cs="Times New Roman"/>
          <w:color w:val="000000"/>
          <w:sz w:val="20"/>
          <w:szCs w:val="20"/>
        </w:rPr>
        <w:t>333</w:t>
      </w:r>
    </w:p>
  </w:footnote>
  <w:footnote w:id="34">
    <w:p w14:paraId="5725FA50"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Stanley Hauerwas, </w:t>
      </w:r>
      <w:r>
        <w:rPr>
          <w:rFonts w:ascii="Times New Roman" w:eastAsia="Times New Roman" w:hAnsi="Times New Roman" w:cs="Times New Roman"/>
          <w:i/>
          <w:color w:val="000000"/>
          <w:sz w:val="20"/>
          <w:szCs w:val="20"/>
        </w:rPr>
        <w:t>Matthew</w:t>
      </w:r>
      <w:r>
        <w:rPr>
          <w:rFonts w:ascii="Times New Roman" w:eastAsia="Times New Roman" w:hAnsi="Times New Roman" w:cs="Times New Roman"/>
          <w:color w:val="000000"/>
          <w:sz w:val="20"/>
          <w:szCs w:val="20"/>
        </w:rPr>
        <w:t xml:space="preserve">, (Brazos, Ada, 1997), 62; John Howard Yoder, </w:t>
      </w:r>
      <w:r>
        <w:rPr>
          <w:rFonts w:ascii="Times New Roman" w:eastAsia="Times New Roman" w:hAnsi="Times New Roman" w:cs="Times New Roman"/>
          <w:i/>
          <w:color w:val="000000"/>
          <w:sz w:val="20"/>
          <w:szCs w:val="20"/>
        </w:rPr>
        <w:t>The Priestly Kingdom</w:t>
      </w:r>
      <w:r>
        <w:rPr>
          <w:rFonts w:ascii="Times New Roman" w:eastAsia="Times New Roman" w:hAnsi="Times New Roman" w:cs="Times New Roman"/>
          <w:color w:val="000000"/>
          <w:sz w:val="20"/>
          <w:szCs w:val="20"/>
        </w:rPr>
        <w:t>, 136-37</w:t>
      </w:r>
    </w:p>
  </w:footnote>
  <w:footnote w:id="35">
    <w:p w14:paraId="6700A767" w14:textId="77777777" w:rsidR="005E23AC" w:rsidRDefault="006A3099">
      <w:pPr>
        <w:rPr>
          <w:sz w:val="20"/>
          <w:szCs w:val="20"/>
        </w:rPr>
      </w:pPr>
      <w:r>
        <w:rPr>
          <w:vertAlign w:val="superscript"/>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highlight w:val="white"/>
        </w:rPr>
        <w:t>Chris Huebner, </w:t>
      </w:r>
      <w:r>
        <w:rPr>
          <w:rFonts w:ascii="Times New Roman" w:eastAsia="Times New Roman" w:hAnsi="Times New Roman" w:cs="Times New Roman"/>
          <w:i/>
          <w:sz w:val="20"/>
          <w:szCs w:val="20"/>
        </w:rPr>
        <w:t>A Precarious Peace: Yoderian Explorations on Theology, Knowledge, and Identity</w:t>
      </w:r>
      <w:r>
        <w:rPr>
          <w:rFonts w:ascii="Times New Roman" w:eastAsia="Times New Roman" w:hAnsi="Times New Roman" w:cs="Times New Roman"/>
          <w:sz w:val="20"/>
          <w:szCs w:val="20"/>
          <w:highlight w:val="white"/>
        </w:rPr>
        <w:t>, (Waterloo, Ontario: Herald Press, 2006), 57-8. My emphasis.</w:t>
      </w:r>
    </w:p>
  </w:footnote>
  <w:footnote w:id="36">
    <w:p w14:paraId="1F22FA2E" w14:textId="77777777" w:rsidR="005E23AC" w:rsidRDefault="006A3099">
      <w:pPr>
        <w:pBdr>
          <w:top w:val="nil"/>
          <w:left w:val="nil"/>
          <w:bottom w:val="nil"/>
          <w:right w:val="nil"/>
          <w:between w:val="nil"/>
        </w:pBdr>
        <w:rPr>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Reasoner, </w:t>
      </w:r>
      <w:r>
        <w:rPr>
          <w:rFonts w:ascii="Times New Roman" w:eastAsia="Times New Roman" w:hAnsi="Times New Roman" w:cs="Times New Roman"/>
          <w:i/>
          <w:color w:val="000000"/>
          <w:sz w:val="20"/>
          <w:szCs w:val="20"/>
        </w:rPr>
        <w:t>Romans Full Circle</w:t>
      </w:r>
      <w:r>
        <w:rPr>
          <w:rFonts w:ascii="Times New Roman" w:eastAsia="Times New Roman" w:hAnsi="Times New Roman" w:cs="Times New Roman"/>
          <w:color w:val="000000"/>
          <w:sz w:val="20"/>
          <w:szCs w:val="20"/>
        </w:rPr>
        <w:t>, 133</w:t>
      </w:r>
    </w:p>
  </w:footnote>
  <w:footnote w:id="37">
    <w:p w14:paraId="1BE46F6F"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E.J.C Hearnshaw, </w:t>
      </w:r>
      <w:r>
        <w:rPr>
          <w:rFonts w:ascii="Times New Roman" w:eastAsia="Times New Roman" w:hAnsi="Times New Roman" w:cs="Times New Roman"/>
          <w:i/>
          <w:color w:val="000000"/>
          <w:sz w:val="20"/>
          <w:szCs w:val="20"/>
        </w:rPr>
        <w:t>Theoretical and Political Ideas of Some Great Medieval Thinkers</w:t>
      </w:r>
      <w:r>
        <w:rPr>
          <w:rFonts w:ascii="Times New Roman" w:eastAsia="Times New Roman" w:hAnsi="Times New Roman" w:cs="Times New Roman"/>
          <w:color w:val="000000"/>
          <w:sz w:val="20"/>
          <w:szCs w:val="20"/>
        </w:rPr>
        <w:t>, 62</w:t>
      </w:r>
    </w:p>
  </w:footnote>
  <w:footnote w:id="38">
    <w:p w14:paraId="2593BC0F" w14:textId="77777777" w:rsidR="005E23AC" w:rsidRDefault="006A3099">
      <w:pPr>
        <w:rPr>
          <w:rFonts w:ascii="Times New Roman" w:eastAsia="Times New Roman" w:hAnsi="Times New Roman" w:cs="Times New Roman"/>
        </w:rPr>
      </w:pPr>
      <w:r>
        <w:rPr>
          <w:vertAlign w:val="superscript"/>
        </w:rPr>
        <w:footnoteRef/>
      </w:r>
      <w:r>
        <w:rPr>
          <w:rFonts w:ascii="Times New Roman" w:eastAsia="Times New Roman" w:hAnsi="Times New Roman" w:cs="Times New Roman"/>
          <w:i/>
          <w:sz w:val="20"/>
          <w:szCs w:val="20"/>
        </w:rPr>
        <w:t xml:space="preserve"> </w:t>
      </w:r>
      <w:r>
        <w:rPr>
          <w:rFonts w:ascii="Times New Roman" w:eastAsia="Times New Roman" w:hAnsi="Times New Roman" w:cs="Times New Roman"/>
          <w:color w:val="000000"/>
          <w:sz w:val="20"/>
          <w:szCs w:val="20"/>
        </w:rPr>
        <w:t>Philipp W. Rosemann</w:t>
      </w:r>
      <w:r>
        <w:rPr>
          <w:rFonts w:ascii="Times New Roman" w:eastAsia="Times New Roman" w:hAnsi="Times New Roman" w:cs="Times New Roman"/>
          <w:sz w:val="20"/>
          <w:szCs w:val="20"/>
        </w:rPr>
        <w:t>,</w:t>
      </w:r>
      <w:r>
        <w:rPr>
          <w:rFonts w:ascii="Times New Roman" w:eastAsia="Times New Roman" w:hAnsi="Times New Roman" w:cs="Times New Roman"/>
        </w:rPr>
        <w:t xml:space="preserve"> </w:t>
      </w:r>
      <w:r>
        <w:rPr>
          <w:rFonts w:ascii="Times New Roman" w:eastAsia="Times New Roman" w:hAnsi="Times New Roman" w:cs="Times New Roman"/>
          <w:i/>
          <w:color w:val="222222"/>
          <w:sz w:val="20"/>
          <w:szCs w:val="20"/>
        </w:rPr>
        <w:t>Commentary on the Sentences of Peter Lombard</w:t>
      </w:r>
      <w:r>
        <w:rPr>
          <w:rFonts w:ascii="Times New Roman" w:eastAsia="Times New Roman" w:hAnsi="Times New Roman" w:cs="Times New Roman"/>
          <w:color w:val="222222"/>
          <w:sz w:val="20"/>
          <w:szCs w:val="20"/>
        </w:rPr>
        <w:t xml:space="preserve">, </w:t>
      </w:r>
      <w:r>
        <w:rPr>
          <w:rFonts w:ascii="Times New Roman" w:eastAsia="Times New Roman" w:hAnsi="Times New Roman" w:cs="Times New Roman"/>
          <w:sz w:val="20"/>
          <w:szCs w:val="20"/>
        </w:rPr>
        <w:t>Book 2, dist. 44, quest. 2</w:t>
      </w:r>
    </w:p>
  </w:footnote>
  <w:footnote w:id="39">
    <w:p w14:paraId="2FA250E9"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Erasmus, </w:t>
      </w:r>
      <w:r>
        <w:rPr>
          <w:rFonts w:ascii="Times New Roman" w:eastAsia="Times New Roman" w:hAnsi="Times New Roman" w:cs="Times New Roman"/>
          <w:i/>
          <w:color w:val="000000"/>
          <w:sz w:val="20"/>
          <w:szCs w:val="20"/>
        </w:rPr>
        <w:t>The Education of a Christian Prince [Trans. Neil Cheshire],</w:t>
      </w:r>
      <w:r>
        <w:rPr>
          <w:rFonts w:ascii="Times New Roman" w:eastAsia="Times New Roman" w:hAnsi="Times New Roman" w:cs="Times New Roman"/>
          <w:color w:val="000000"/>
          <w:sz w:val="20"/>
          <w:szCs w:val="20"/>
        </w:rPr>
        <w:t xml:space="preserve"> (Cambridge, Cambridge University Press, 1997), 40-42. Interesting that this was the same prince Luther would stand before </w:t>
      </w:r>
      <w:r>
        <w:rPr>
          <w:rFonts w:ascii="Times New Roman" w:eastAsia="Times New Roman" w:hAnsi="Times New Roman" w:cs="Times New Roman"/>
          <w:sz w:val="20"/>
          <w:szCs w:val="20"/>
        </w:rPr>
        <w:t>at the Diet</w:t>
      </w:r>
      <w:r>
        <w:rPr>
          <w:rFonts w:ascii="Times New Roman" w:eastAsia="Times New Roman" w:hAnsi="Times New Roman" w:cs="Times New Roman"/>
          <w:color w:val="000000"/>
          <w:sz w:val="20"/>
          <w:szCs w:val="20"/>
        </w:rPr>
        <w:t xml:space="preserve"> of Worms. </w:t>
      </w:r>
    </w:p>
  </w:footnote>
  <w:footnote w:id="40">
    <w:p w14:paraId="0106BCBC"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Reasoner, </w:t>
      </w:r>
      <w:r>
        <w:rPr>
          <w:rFonts w:ascii="Times New Roman" w:eastAsia="Times New Roman" w:hAnsi="Times New Roman" w:cs="Times New Roman"/>
          <w:i/>
          <w:color w:val="000000"/>
          <w:sz w:val="20"/>
          <w:szCs w:val="20"/>
        </w:rPr>
        <w:t>Romans Full Circle</w:t>
      </w:r>
      <w:r>
        <w:rPr>
          <w:rFonts w:ascii="Times New Roman" w:eastAsia="Times New Roman" w:hAnsi="Times New Roman" w:cs="Times New Roman"/>
          <w:color w:val="000000"/>
          <w:sz w:val="20"/>
          <w:szCs w:val="20"/>
        </w:rPr>
        <w:t>, 134</w:t>
      </w:r>
    </w:p>
  </w:footnote>
  <w:footnote w:id="41">
    <w:p w14:paraId="7A8333B6" w14:textId="77777777" w:rsidR="005E23AC" w:rsidRDefault="006A3099">
      <w:pPr>
        <w:pBdr>
          <w:top w:val="nil"/>
          <w:left w:val="nil"/>
          <w:bottom w:val="nil"/>
          <w:right w:val="nil"/>
          <w:between w:val="nil"/>
        </w:pBdr>
        <w:rPr>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Luther, </w:t>
      </w:r>
      <w:r>
        <w:rPr>
          <w:rFonts w:ascii="Times New Roman" w:eastAsia="Times New Roman" w:hAnsi="Times New Roman" w:cs="Times New Roman"/>
          <w:i/>
          <w:color w:val="000000"/>
          <w:sz w:val="20"/>
          <w:szCs w:val="20"/>
        </w:rPr>
        <w:t>On Governmental Authority</w:t>
      </w:r>
      <w:r>
        <w:rPr>
          <w:rFonts w:ascii="Times New Roman" w:eastAsia="Times New Roman" w:hAnsi="Times New Roman" w:cs="Times New Roman"/>
          <w:color w:val="000000"/>
          <w:sz w:val="20"/>
          <w:szCs w:val="20"/>
        </w:rPr>
        <w:t>, 56</w:t>
      </w:r>
    </w:p>
  </w:footnote>
  <w:footnote w:id="42">
    <w:p w14:paraId="1663CEE6"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Luther, </w:t>
      </w:r>
      <w:r>
        <w:rPr>
          <w:rFonts w:ascii="Times New Roman" w:eastAsia="Times New Roman" w:hAnsi="Times New Roman" w:cs="Times New Roman"/>
          <w:i/>
          <w:color w:val="000000"/>
          <w:sz w:val="20"/>
          <w:szCs w:val="20"/>
        </w:rPr>
        <w:t>On Governmental Authority</w:t>
      </w:r>
      <w:r>
        <w:rPr>
          <w:rFonts w:ascii="Times New Roman" w:eastAsia="Times New Roman" w:hAnsi="Times New Roman" w:cs="Times New Roman"/>
          <w:color w:val="000000"/>
          <w:sz w:val="20"/>
          <w:szCs w:val="20"/>
        </w:rPr>
        <w:t>, 257</w:t>
      </w:r>
    </w:p>
  </w:footnote>
  <w:footnote w:id="43">
    <w:p w14:paraId="0E04FD4A"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Luther, </w:t>
      </w:r>
      <w:r>
        <w:rPr>
          <w:rFonts w:ascii="Times New Roman" w:eastAsia="Times New Roman" w:hAnsi="Times New Roman" w:cs="Times New Roman"/>
          <w:i/>
          <w:color w:val="000000"/>
          <w:sz w:val="20"/>
          <w:szCs w:val="20"/>
        </w:rPr>
        <w:t>On Governmental Authority</w:t>
      </w:r>
      <w:r>
        <w:rPr>
          <w:rFonts w:ascii="Times New Roman" w:eastAsia="Times New Roman" w:hAnsi="Times New Roman" w:cs="Times New Roman"/>
          <w:color w:val="000000"/>
          <w:sz w:val="20"/>
          <w:szCs w:val="20"/>
        </w:rPr>
        <w:t>, 123</w:t>
      </w:r>
    </w:p>
  </w:footnote>
  <w:footnote w:id="44">
    <w:p w14:paraId="7075A80B"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McCormack, Bruce, </w:t>
      </w:r>
      <w:r>
        <w:rPr>
          <w:rFonts w:ascii="Times New Roman" w:eastAsia="Times New Roman" w:hAnsi="Times New Roman" w:cs="Times New Roman"/>
          <w:i/>
          <w:color w:val="000000"/>
          <w:sz w:val="20"/>
          <w:szCs w:val="20"/>
        </w:rPr>
        <w:t>Karl Barth’s Dialectic Theology</w:t>
      </w:r>
      <w:r>
        <w:rPr>
          <w:rFonts w:ascii="Times New Roman" w:eastAsia="Times New Roman" w:hAnsi="Times New Roman" w:cs="Times New Roman"/>
          <w:color w:val="000000"/>
          <w:sz w:val="20"/>
          <w:szCs w:val="20"/>
        </w:rPr>
        <w:t>, (Oxford, Clarendon Press, 1995) 280-82</w:t>
      </w:r>
    </w:p>
  </w:footnote>
  <w:footnote w:id="45">
    <w:p w14:paraId="6CBC959F"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Karl Barth, </w:t>
      </w:r>
      <w:r>
        <w:rPr>
          <w:rFonts w:ascii="Times New Roman" w:eastAsia="Times New Roman" w:hAnsi="Times New Roman" w:cs="Times New Roman"/>
          <w:i/>
          <w:color w:val="000000"/>
          <w:sz w:val="20"/>
          <w:szCs w:val="20"/>
        </w:rPr>
        <w:t>Romans II</w:t>
      </w:r>
      <w:r>
        <w:rPr>
          <w:rFonts w:ascii="Times New Roman" w:eastAsia="Times New Roman" w:hAnsi="Times New Roman" w:cs="Times New Roman"/>
          <w:color w:val="000000"/>
          <w:sz w:val="20"/>
          <w:szCs w:val="20"/>
        </w:rPr>
        <w:t>, 493-94</w:t>
      </w:r>
    </w:p>
  </w:footnote>
  <w:footnote w:id="46">
    <w:p w14:paraId="19C4D6B2" w14:textId="77777777" w:rsidR="005E23AC" w:rsidRDefault="006A3099">
      <w:pPr>
        <w:pBdr>
          <w:top w:val="nil"/>
          <w:left w:val="nil"/>
          <w:bottom w:val="nil"/>
          <w:right w:val="nil"/>
          <w:between w:val="nil"/>
        </w:pBdr>
        <w:rPr>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Reasoner, </w:t>
      </w:r>
      <w:r>
        <w:rPr>
          <w:rFonts w:ascii="Times New Roman" w:eastAsia="Times New Roman" w:hAnsi="Times New Roman" w:cs="Times New Roman"/>
          <w:i/>
          <w:color w:val="000000"/>
          <w:sz w:val="20"/>
          <w:szCs w:val="20"/>
        </w:rPr>
        <w:t>Romans Full Circle</w:t>
      </w:r>
      <w:r>
        <w:rPr>
          <w:rFonts w:ascii="Times New Roman" w:eastAsia="Times New Roman" w:hAnsi="Times New Roman" w:cs="Times New Roman"/>
          <w:color w:val="000000"/>
          <w:sz w:val="20"/>
          <w:szCs w:val="20"/>
        </w:rPr>
        <w:t>, 140</w:t>
      </w:r>
    </w:p>
  </w:footnote>
  <w:footnote w:id="47">
    <w:p w14:paraId="2F6D2DBA"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Karl Barth, </w:t>
      </w:r>
      <w:r>
        <w:rPr>
          <w:rFonts w:ascii="Times New Roman" w:eastAsia="Times New Roman" w:hAnsi="Times New Roman" w:cs="Times New Roman"/>
          <w:i/>
          <w:color w:val="000000"/>
          <w:sz w:val="20"/>
          <w:szCs w:val="20"/>
        </w:rPr>
        <w:t>A Shorter Commentary on Romans</w:t>
      </w:r>
      <w:r>
        <w:rPr>
          <w:rFonts w:ascii="Times New Roman" w:eastAsia="Times New Roman" w:hAnsi="Times New Roman" w:cs="Times New Roman"/>
          <w:color w:val="000000"/>
          <w:sz w:val="20"/>
          <w:szCs w:val="20"/>
        </w:rPr>
        <w:t>, (Richmond, John Knox, 1959), 157-61</w:t>
      </w:r>
    </w:p>
  </w:footnote>
  <w:footnote w:id="48">
    <w:p w14:paraId="0A8001DB" w14:textId="77777777" w:rsidR="005E23AC" w:rsidRDefault="006A3099">
      <w:pPr>
        <w:pBdr>
          <w:top w:val="nil"/>
          <w:left w:val="nil"/>
          <w:bottom w:val="nil"/>
          <w:right w:val="nil"/>
          <w:between w:val="nil"/>
        </w:pBdr>
        <w:rPr>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Grieb, Katherine, </w:t>
      </w:r>
      <w:r>
        <w:rPr>
          <w:rFonts w:ascii="Times New Roman" w:eastAsia="Times New Roman" w:hAnsi="Times New Roman" w:cs="Times New Roman"/>
          <w:i/>
          <w:color w:val="000000"/>
          <w:sz w:val="20"/>
          <w:szCs w:val="20"/>
        </w:rPr>
        <w:t>The Story of Romans</w:t>
      </w:r>
      <w:r>
        <w:rPr>
          <w:rFonts w:ascii="Times New Roman" w:eastAsia="Times New Roman" w:hAnsi="Times New Roman" w:cs="Times New Roman"/>
          <w:color w:val="000000"/>
          <w:sz w:val="20"/>
          <w:szCs w:val="20"/>
        </w:rPr>
        <w:t>, (Harrisburg, Trinity Press, 1997) 125-26</w:t>
      </w:r>
    </w:p>
  </w:footnote>
  <w:footnote w:id="49">
    <w:p w14:paraId="6BD3D465"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Wright, N.T., </w:t>
      </w:r>
      <w:r>
        <w:rPr>
          <w:rFonts w:ascii="Times New Roman" w:eastAsia="Times New Roman" w:hAnsi="Times New Roman" w:cs="Times New Roman"/>
          <w:i/>
          <w:color w:val="000000"/>
          <w:sz w:val="20"/>
          <w:szCs w:val="20"/>
        </w:rPr>
        <w:t>Romans (NTIBC),</w:t>
      </w:r>
      <w:r>
        <w:rPr>
          <w:rFonts w:ascii="Times New Roman" w:eastAsia="Times New Roman" w:hAnsi="Times New Roman" w:cs="Times New Roman"/>
          <w:color w:val="000000"/>
          <w:sz w:val="20"/>
          <w:szCs w:val="20"/>
        </w:rPr>
        <w:t xml:space="preserve"> (Nashville, Abingdon, 2002), 718-21  </w:t>
      </w:r>
    </w:p>
  </w:footnote>
  <w:footnote w:id="50">
    <w:p w14:paraId="38881C7B"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Wright, </w:t>
      </w:r>
      <w:r>
        <w:rPr>
          <w:rFonts w:ascii="Times New Roman" w:eastAsia="Times New Roman" w:hAnsi="Times New Roman" w:cs="Times New Roman"/>
          <w:i/>
          <w:color w:val="000000"/>
          <w:sz w:val="20"/>
          <w:szCs w:val="20"/>
        </w:rPr>
        <w:t>Romans</w:t>
      </w:r>
      <w:r>
        <w:rPr>
          <w:rFonts w:ascii="Times New Roman" w:eastAsia="Times New Roman" w:hAnsi="Times New Roman" w:cs="Times New Roman"/>
          <w:color w:val="000000"/>
          <w:sz w:val="20"/>
          <w:szCs w:val="20"/>
        </w:rPr>
        <w:t>, 716</w:t>
      </w:r>
    </w:p>
  </w:footnote>
  <w:footnote w:id="51">
    <w:p w14:paraId="58B962D7"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Grieb, </w:t>
      </w:r>
      <w:r>
        <w:rPr>
          <w:rFonts w:ascii="Times New Roman" w:eastAsia="Times New Roman" w:hAnsi="Times New Roman" w:cs="Times New Roman"/>
          <w:i/>
          <w:color w:val="000000"/>
          <w:sz w:val="20"/>
          <w:szCs w:val="20"/>
        </w:rPr>
        <w:t>Romans</w:t>
      </w:r>
      <w:r>
        <w:rPr>
          <w:rFonts w:ascii="Times New Roman" w:eastAsia="Times New Roman" w:hAnsi="Times New Roman" w:cs="Times New Roman"/>
          <w:color w:val="000000"/>
          <w:sz w:val="20"/>
          <w:szCs w:val="20"/>
        </w:rPr>
        <w:t>, 122-26</w:t>
      </w:r>
    </w:p>
  </w:footnote>
  <w:footnote w:id="52">
    <w:p w14:paraId="5B11A8DF"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See Macarthur, </w:t>
      </w:r>
      <w:r>
        <w:rPr>
          <w:rFonts w:ascii="Times New Roman" w:eastAsia="Times New Roman" w:hAnsi="Times New Roman" w:cs="Times New Roman"/>
          <w:i/>
          <w:color w:val="000000"/>
          <w:sz w:val="20"/>
          <w:szCs w:val="20"/>
        </w:rPr>
        <w:t>Biblical Doctrine</w:t>
      </w:r>
      <w:r>
        <w:rPr>
          <w:rFonts w:ascii="Times New Roman" w:eastAsia="Times New Roman" w:hAnsi="Times New Roman" w:cs="Times New Roman"/>
          <w:color w:val="000000"/>
          <w:sz w:val="20"/>
          <w:szCs w:val="20"/>
        </w:rPr>
        <w:t xml:space="preserve">, 676-699 and Grudem, </w:t>
      </w:r>
      <w:r>
        <w:rPr>
          <w:rFonts w:ascii="Times New Roman" w:eastAsia="Times New Roman" w:hAnsi="Times New Roman" w:cs="Times New Roman"/>
          <w:i/>
          <w:color w:val="000000"/>
          <w:sz w:val="20"/>
          <w:szCs w:val="20"/>
        </w:rPr>
        <w:t>Systematic Theology</w:t>
      </w:r>
      <w:r>
        <w:rPr>
          <w:rFonts w:ascii="Times New Roman" w:eastAsia="Times New Roman" w:hAnsi="Times New Roman" w:cs="Times New Roman"/>
          <w:color w:val="000000"/>
          <w:sz w:val="20"/>
          <w:szCs w:val="20"/>
        </w:rPr>
        <w:t xml:space="preserve">, 412-433. In these two popular systematic theology books there is no mention of the role of Satan except in that he will take over governmental power in the final empire under the antichrist in a futurist framework of Revelation. Both attribute the structures and authority of government to God as Luther did. Macarthur states that Satan is only over systems that are hostile towards God, indicating religion aspects only, not every system or government [681]. </w:t>
      </w:r>
    </w:p>
  </w:footnote>
  <w:footnote w:id="53">
    <w:p w14:paraId="4F8859E3" w14:textId="77777777" w:rsidR="005E23AC" w:rsidRDefault="006A3099">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rPr>
        <w:t xml:space="preserve"> </w:t>
      </w:r>
      <w:r>
        <w:rPr>
          <w:rFonts w:ascii="Times New Roman" w:eastAsia="Times New Roman" w:hAnsi="Times New Roman" w:cs="Times New Roman"/>
          <w:sz w:val="20"/>
          <w:szCs w:val="20"/>
        </w:rPr>
        <w:t xml:space="preserve">See MacArthur, </w:t>
      </w:r>
      <w:r>
        <w:rPr>
          <w:rFonts w:ascii="Times New Roman" w:eastAsia="Times New Roman" w:hAnsi="Times New Roman" w:cs="Times New Roman"/>
          <w:i/>
          <w:sz w:val="20"/>
          <w:szCs w:val="20"/>
        </w:rPr>
        <w:t>Biblical Doctrine</w:t>
      </w:r>
      <w:r>
        <w:rPr>
          <w:rFonts w:ascii="Times New Roman" w:eastAsia="Times New Roman" w:hAnsi="Times New Roman" w:cs="Times New Roman"/>
          <w:sz w:val="20"/>
          <w:szCs w:val="20"/>
        </w:rPr>
        <w:t xml:space="preserve">; Grudem, </w:t>
      </w:r>
      <w:r>
        <w:rPr>
          <w:rFonts w:ascii="Times New Roman" w:eastAsia="Times New Roman" w:hAnsi="Times New Roman" w:cs="Times New Roman"/>
          <w:i/>
          <w:sz w:val="20"/>
          <w:szCs w:val="20"/>
        </w:rPr>
        <w:t>Systematic Theology</w:t>
      </w:r>
    </w:p>
  </w:footnote>
  <w:footnote w:id="54">
    <w:p w14:paraId="3CED425D"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See 7 Mountain Mandate theology. This view sees the world as controlled by Satan, but it is the Church’s job to take over this worldly system and “baptize it” or transform it to be “Christian</w:t>
      </w:r>
      <w:r>
        <w:rPr>
          <w:rFonts w:ascii="Times New Roman" w:eastAsia="Times New Roman" w:hAnsi="Times New Roman" w:cs="Times New Roman"/>
          <w:sz w:val="20"/>
          <w:szCs w:val="20"/>
        </w:rPr>
        <w:t>."</w:t>
      </w:r>
      <w:r>
        <w:rPr>
          <w:rFonts w:ascii="Times New Roman" w:eastAsia="Times New Roman" w:hAnsi="Times New Roman" w:cs="Times New Roman"/>
          <w:color w:val="000000"/>
          <w:sz w:val="20"/>
          <w:szCs w:val="20"/>
        </w:rPr>
        <w:t xml:space="preserve"> 2 </w:t>
      </w:r>
      <w:r>
        <w:rPr>
          <w:rFonts w:ascii="Times New Roman" w:eastAsia="Times New Roman" w:hAnsi="Times New Roman" w:cs="Times New Roman"/>
          <w:sz w:val="20"/>
          <w:szCs w:val="20"/>
        </w:rPr>
        <w:t>Kingdom</w:t>
      </w:r>
      <w:r>
        <w:rPr>
          <w:rFonts w:ascii="Times New Roman" w:eastAsia="Times New Roman" w:hAnsi="Times New Roman" w:cs="Times New Roman"/>
          <w:color w:val="000000"/>
          <w:sz w:val="20"/>
          <w:szCs w:val="20"/>
        </w:rPr>
        <w:t xml:space="preserve"> theology in the Reformed tradition has much overlap with this view in areas with its view of military and working in the public and government sectors.  </w:t>
      </w:r>
    </w:p>
  </w:footnote>
  <w:footnote w:id="55">
    <w:p w14:paraId="7517CF03"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Boring, M. Eugene, </w:t>
      </w:r>
      <w:r>
        <w:rPr>
          <w:rFonts w:ascii="Times New Roman" w:eastAsia="Times New Roman" w:hAnsi="Times New Roman" w:cs="Times New Roman"/>
          <w:i/>
          <w:color w:val="000000"/>
          <w:sz w:val="20"/>
          <w:szCs w:val="20"/>
        </w:rPr>
        <w:t>Revelation</w:t>
      </w:r>
      <w:r>
        <w:rPr>
          <w:rFonts w:ascii="Times New Roman" w:eastAsia="Times New Roman" w:hAnsi="Times New Roman" w:cs="Times New Roman"/>
          <w:color w:val="000000"/>
          <w:sz w:val="20"/>
          <w:szCs w:val="20"/>
        </w:rPr>
        <w:t>, (Louisville, John Knox, 1989), 47-48</w:t>
      </w:r>
    </w:p>
  </w:footnote>
  <w:footnote w:id="56">
    <w:p w14:paraId="2D6D8F24"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Gregg, </w:t>
      </w:r>
      <w:r>
        <w:rPr>
          <w:rFonts w:ascii="Times New Roman" w:eastAsia="Times New Roman" w:hAnsi="Times New Roman" w:cs="Times New Roman"/>
          <w:i/>
          <w:color w:val="000000"/>
          <w:sz w:val="20"/>
          <w:szCs w:val="20"/>
        </w:rPr>
        <w:t>Revelation</w:t>
      </w:r>
      <w:r>
        <w:rPr>
          <w:rFonts w:ascii="Times New Roman" w:eastAsia="Times New Roman" w:hAnsi="Times New Roman" w:cs="Times New Roman"/>
          <w:color w:val="000000"/>
          <w:sz w:val="20"/>
          <w:szCs w:val="20"/>
        </w:rPr>
        <w:t>, 334</w:t>
      </w:r>
    </w:p>
  </w:footnote>
  <w:footnote w:id="57">
    <w:p w14:paraId="5F192507"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See Davis, Ellen, </w:t>
      </w:r>
      <w:r>
        <w:rPr>
          <w:rFonts w:ascii="Times New Roman" w:eastAsia="Times New Roman" w:hAnsi="Times New Roman" w:cs="Times New Roman"/>
          <w:i/>
          <w:color w:val="000000"/>
          <w:sz w:val="20"/>
          <w:szCs w:val="20"/>
        </w:rPr>
        <w:t xml:space="preserve">Biblical Prophecy, </w:t>
      </w:r>
      <w:r>
        <w:rPr>
          <w:rFonts w:ascii="Times New Roman" w:eastAsia="Times New Roman" w:hAnsi="Times New Roman" w:cs="Times New Roman"/>
          <w:color w:val="000000"/>
          <w:sz w:val="20"/>
          <w:szCs w:val="20"/>
        </w:rPr>
        <w:t>(Louisville, Westminster, 2014). Prophecy in the Bible is primarily about the exhortation and the calling back of God’s people. This makes sense with the book of Revelation in that there are seven churches and five of the seven have entanglement that Jesus is calling them to address. The prophets called Israel back to covenant faithfulness primarily and did not just predict the future. The Prophets were covenant enforcers. Revelation itself defines prophecy in its context as the testimony of Jesus (Rev 19:10) and not the prediction of future events. The testimony of the Lamb is that like Jesus, God’s people need to be wholly devoted to God which involves suffering and self-giving love. This is what John is calling the churches to do, to come out of Babylon, and return to Him. If one looks at the future predictions of the Prophets in the OT you will quickly see that it mainly deals with present situations and very rarely with the future except in the fact that “this will happen if you don’t turn to the Lord</w:t>
      </w:r>
      <w:r>
        <w:rPr>
          <w:rFonts w:ascii="Times New Roman" w:eastAsia="Times New Roman" w:hAnsi="Times New Roman" w:cs="Times New Roman"/>
          <w:sz w:val="20"/>
          <w:szCs w:val="20"/>
        </w:rPr>
        <w:t>."</w:t>
      </w:r>
      <w:r>
        <w:rPr>
          <w:rFonts w:ascii="Times New Roman" w:eastAsia="Times New Roman" w:hAnsi="Times New Roman" w:cs="Times New Roman"/>
          <w:color w:val="000000"/>
          <w:sz w:val="20"/>
          <w:szCs w:val="20"/>
        </w:rPr>
        <w:t xml:space="preserve"> Most “prophecy” is related to calling God’s people back to covenant faithfulness and not predicting the future. It is better to see fulfillment as “filling up” something said in the past rather than simply always about future predictions.</w:t>
      </w:r>
    </w:p>
  </w:footnote>
  <w:footnote w:id="58">
    <w:p w14:paraId="62AE6C49"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Boring, </w:t>
      </w:r>
      <w:r>
        <w:rPr>
          <w:rFonts w:ascii="Times New Roman" w:eastAsia="Times New Roman" w:hAnsi="Times New Roman" w:cs="Times New Roman"/>
          <w:i/>
          <w:color w:val="000000"/>
          <w:sz w:val="20"/>
          <w:szCs w:val="20"/>
        </w:rPr>
        <w:t>Revelation</w:t>
      </w:r>
      <w:r>
        <w:rPr>
          <w:rFonts w:ascii="Times New Roman" w:eastAsia="Times New Roman" w:hAnsi="Times New Roman" w:cs="Times New Roman"/>
          <w:color w:val="000000"/>
          <w:sz w:val="20"/>
          <w:szCs w:val="20"/>
        </w:rPr>
        <w:t>, 48-49</w:t>
      </w:r>
    </w:p>
  </w:footnote>
  <w:footnote w:id="59">
    <w:p w14:paraId="587D1831"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Boring, </w:t>
      </w:r>
      <w:r>
        <w:rPr>
          <w:rFonts w:ascii="Times New Roman" w:eastAsia="Times New Roman" w:hAnsi="Times New Roman" w:cs="Times New Roman"/>
          <w:i/>
          <w:color w:val="000000"/>
          <w:sz w:val="20"/>
          <w:szCs w:val="20"/>
        </w:rPr>
        <w:t>Revelation</w:t>
      </w:r>
      <w:r>
        <w:rPr>
          <w:rFonts w:ascii="Times New Roman" w:eastAsia="Times New Roman" w:hAnsi="Times New Roman" w:cs="Times New Roman"/>
          <w:color w:val="000000"/>
          <w:sz w:val="20"/>
          <w:szCs w:val="20"/>
        </w:rPr>
        <w:t>, 49</w:t>
      </w:r>
    </w:p>
  </w:footnote>
  <w:footnote w:id="60">
    <w:p w14:paraId="5215EA50"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John Macarthur and Richard Mayhue, </w:t>
      </w:r>
      <w:r>
        <w:rPr>
          <w:rFonts w:ascii="Times New Roman" w:eastAsia="Times New Roman" w:hAnsi="Times New Roman" w:cs="Times New Roman"/>
          <w:i/>
          <w:color w:val="000000"/>
          <w:sz w:val="20"/>
          <w:szCs w:val="20"/>
        </w:rPr>
        <w:t>Biblical Doctrine</w:t>
      </w:r>
      <w:r>
        <w:rPr>
          <w:rFonts w:ascii="Times New Roman" w:eastAsia="Times New Roman" w:hAnsi="Times New Roman" w:cs="Times New Roman"/>
          <w:color w:val="000000"/>
          <w:sz w:val="20"/>
          <w:szCs w:val="20"/>
        </w:rPr>
        <w:t>, (Wheaton, Crossway, 2017), 443-446</w:t>
      </w:r>
    </w:p>
  </w:footnote>
  <w:footnote w:id="61">
    <w:p w14:paraId="2DCAE916"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Besides the fact that the future predictive view is basically divination. </w:t>
      </w:r>
    </w:p>
  </w:footnote>
  <w:footnote w:id="62">
    <w:p w14:paraId="5C5CCBA7"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See previous footnote on Prophecy</w:t>
      </w:r>
    </w:p>
  </w:footnote>
  <w:footnote w:id="63">
    <w:p w14:paraId="6EFDBDA0"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This came from the “prophetic vision” of an Irish farm girl named Margret McDonald. </w:t>
      </w:r>
    </w:p>
  </w:footnote>
  <w:footnote w:id="64">
    <w:p w14:paraId="17609BEA"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Paul, Ian, </w:t>
      </w:r>
      <w:r>
        <w:rPr>
          <w:rFonts w:ascii="Times New Roman" w:eastAsia="Times New Roman" w:hAnsi="Times New Roman" w:cs="Times New Roman"/>
          <w:i/>
          <w:color w:val="000000"/>
          <w:sz w:val="20"/>
          <w:szCs w:val="20"/>
        </w:rPr>
        <w:t>Revelation (TNTC),</w:t>
      </w:r>
      <w:r>
        <w:rPr>
          <w:rFonts w:ascii="Times New Roman" w:eastAsia="Times New Roman" w:hAnsi="Times New Roman" w:cs="Times New Roman"/>
          <w:color w:val="000000"/>
          <w:sz w:val="20"/>
          <w:szCs w:val="20"/>
        </w:rPr>
        <w:t xml:space="preserve"> (Downers Grove, IVP, 2018), 50</w:t>
      </w:r>
    </w:p>
  </w:footnote>
  <w:footnote w:id="65">
    <w:p w14:paraId="704A0BFD"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Boring, </w:t>
      </w:r>
      <w:r>
        <w:rPr>
          <w:rFonts w:ascii="Times New Roman" w:eastAsia="Times New Roman" w:hAnsi="Times New Roman" w:cs="Times New Roman"/>
          <w:i/>
          <w:color w:val="000000"/>
          <w:sz w:val="20"/>
          <w:szCs w:val="20"/>
        </w:rPr>
        <w:t>Revelation</w:t>
      </w:r>
      <w:r>
        <w:rPr>
          <w:rFonts w:ascii="Times New Roman" w:eastAsia="Times New Roman" w:hAnsi="Times New Roman" w:cs="Times New Roman"/>
          <w:color w:val="000000"/>
          <w:sz w:val="20"/>
          <w:szCs w:val="20"/>
        </w:rPr>
        <w:t>, 50</w:t>
      </w:r>
    </w:p>
  </w:footnote>
  <w:footnote w:id="66">
    <w:p w14:paraId="63BADAA6" w14:textId="77777777" w:rsidR="005E23AC" w:rsidRDefault="006A309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Boring, </w:t>
      </w:r>
      <w:r>
        <w:rPr>
          <w:rFonts w:ascii="Times New Roman" w:eastAsia="Times New Roman" w:hAnsi="Times New Roman" w:cs="Times New Roman"/>
          <w:i/>
          <w:color w:val="000000"/>
          <w:sz w:val="20"/>
          <w:szCs w:val="20"/>
        </w:rPr>
        <w:t>Revelation</w:t>
      </w:r>
      <w:r>
        <w:rPr>
          <w:rFonts w:ascii="Times New Roman" w:eastAsia="Times New Roman" w:hAnsi="Times New Roman" w:cs="Times New Roman"/>
          <w:color w:val="000000"/>
          <w:sz w:val="20"/>
          <w:szCs w:val="20"/>
        </w:rPr>
        <w:t>, 51</w:t>
      </w:r>
    </w:p>
  </w:footnote>
  <w:footnote w:id="67">
    <w:p w14:paraId="12630852"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Kraybill, J. Nelson, </w:t>
      </w:r>
      <w:r>
        <w:rPr>
          <w:rFonts w:ascii="Times New Roman" w:eastAsia="Times New Roman" w:hAnsi="Times New Roman" w:cs="Times New Roman"/>
          <w:i/>
          <w:color w:val="000000"/>
          <w:sz w:val="20"/>
          <w:szCs w:val="20"/>
        </w:rPr>
        <w:t>Apocalypse and Allegiance</w:t>
      </w:r>
      <w:r>
        <w:rPr>
          <w:rFonts w:ascii="Times New Roman" w:eastAsia="Times New Roman" w:hAnsi="Times New Roman" w:cs="Times New Roman"/>
          <w:color w:val="000000"/>
          <w:sz w:val="20"/>
          <w:szCs w:val="20"/>
        </w:rPr>
        <w:t>, (Grand Rapids, Brazos, 2010), 41</w:t>
      </w:r>
    </w:p>
  </w:footnote>
  <w:footnote w:id="68">
    <w:p w14:paraId="7C42E87C"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See Boring, M. Eugene, </w:t>
      </w:r>
      <w:r>
        <w:rPr>
          <w:rFonts w:ascii="Times New Roman" w:eastAsia="Times New Roman" w:hAnsi="Times New Roman" w:cs="Times New Roman"/>
          <w:i/>
          <w:color w:val="000000"/>
          <w:sz w:val="20"/>
          <w:szCs w:val="20"/>
        </w:rPr>
        <w:t>Revelation</w:t>
      </w:r>
      <w:r>
        <w:rPr>
          <w:rFonts w:ascii="Times New Roman" w:eastAsia="Times New Roman" w:hAnsi="Times New Roman" w:cs="Times New Roman"/>
          <w:color w:val="000000"/>
          <w:sz w:val="20"/>
          <w:szCs w:val="20"/>
        </w:rPr>
        <w:t xml:space="preserve">, (Louisville, John Knox, 1989); Stevenson, Gregory, </w:t>
      </w:r>
      <w:r>
        <w:rPr>
          <w:rFonts w:ascii="Times New Roman" w:eastAsia="Times New Roman" w:hAnsi="Times New Roman" w:cs="Times New Roman"/>
          <w:i/>
          <w:color w:val="000000"/>
          <w:sz w:val="20"/>
          <w:szCs w:val="20"/>
        </w:rPr>
        <w:t>A Slaughtered Lamb</w:t>
      </w:r>
      <w:r>
        <w:rPr>
          <w:rFonts w:ascii="Times New Roman" w:eastAsia="Times New Roman" w:hAnsi="Times New Roman" w:cs="Times New Roman"/>
          <w:color w:val="000000"/>
          <w:sz w:val="20"/>
          <w:szCs w:val="20"/>
        </w:rPr>
        <w:t xml:space="preserve">, (Abilene, Abilene Press, 2013), Bauckham, Richard, </w:t>
      </w:r>
      <w:r>
        <w:rPr>
          <w:rFonts w:ascii="Times New Roman" w:eastAsia="Times New Roman" w:hAnsi="Times New Roman" w:cs="Times New Roman"/>
          <w:i/>
          <w:color w:val="000000"/>
          <w:sz w:val="20"/>
          <w:szCs w:val="20"/>
        </w:rPr>
        <w:t>The Theology of Revelation</w:t>
      </w:r>
      <w:r>
        <w:rPr>
          <w:rFonts w:ascii="Times New Roman" w:eastAsia="Times New Roman" w:hAnsi="Times New Roman" w:cs="Times New Roman"/>
          <w:color w:val="000000"/>
          <w:sz w:val="20"/>
          <w:szCs w:val="20"/>
        </w:rPr>
        <w:t xml:space="preserve">, (Cambridge, Cambridge University Press, 1993); Desilva, David A., </w:t>
      </w:r>
      <w:r>
        <w:rPr>
          <w:rFonts w:ascii="Times New Roman" w:eastAsia="Times New Roman" w:hAnsi="Times New Roman" w:cs="Times New Roman"/>
          <w:i/>
          <w:color w:val="000000"/>
          <w:sz w:val="20"/>
          <w:szCs w:val="20"/>
        </w:rPr>
        <w:t>Discovering Revelation</w:t>
      </w:r>
      <w:r>
        <w:rPr>
          <w:rFonts w:ascii="Times New Roman" w:eastAsia="Times New Roman" w:hAnsi="Times New Roman" w:cs="Times New Roman"/>
          <w:color w:val="000000"/>
          <w:sz w:val="20"/>
          <w:szCs w:val="20"/>
        </w:rPr>
        <w:t xml:space="preserve">, (London, SPCK, 2021); Johnson, Dennis E., Triumph of the Lamb, (Phillipsburg, P&amp;P Publishing, 2001); Kraybill, J. Nelson, </w:t>
      </w:r>
      <w:r>
        <w:rPr>
          <w:rFonts w:ascii="Times New Roman" w:eastAsia="Times New Roman" w:hAnsi="Times New Roman" w:cs="Times New Roman"/>
          <w:i/>
          <w:color w:val="000000"/>
          <w:sz w:val="20"/>
          <w:szCs w:val="20"/>
        </w:rPr>
        <w:t>Apocalypse and Allegiance</w:t>
      </w:r>
      <w:r>
        <w:rPr>
          <w:rFonts w:ascii="Times New Roman" w:eastAsia="Times New Roman" w:hAnsi="Times New Roman" w:cs="Times New Roman"/>
          <w:color w:val="000000"/>
          <w:sz w:val="20"/>
          <w:szCs w:val="20"/>
        </w:rPr>
        <w:t>, (Grand Rapids, Brazos, 2010).</w:t>
      </w:r>
    </w:p>
  </w:footnote>
  <w:footnote w:id="69">
    <w:p w14:paraId="2DDDCDD1" w14:textId="77777777" w:rsidR="005E23AC" w:rsidRDefault="006A3099">
      <w:pPr>
        <w:rPr>
          <w:rFonts w:ascii="Times New Roman" w:eastAsia="Times New Roman" w:hAnsi="Times New Roman" w:cs="Times New Roman"/>
        </w:rPr>
      </w:pPr>
      <w:r>
        <w:rPr>
          <w:vertAlign w:val="superscript"/>
        </w:rPr>
        <w:footnoteRef/>
      </w:r>
      <w:r>
        <w:rPr>
          <w:rFonts w:ascii="Times New Roman" w:eastAsia="Times New Roman" w:hAnsi="Times New Roman" w:cs="Times New Roman"/>
          <w:sz w:val="20"/>
          <w:szCs w:val="20"/>
        </w:rPr>
        <w:t xml:space="preserve"> Michael S. Heiser, </w:t>
      </w:r>
      <w:r>
        <w:rPr>
          <w:rFonts w:ascii="Times New Roman" w:eastAsia="Times New Roman" w:hAnsi="Times New Roman" w:cs="Times New Roman"/>
          <w:i/>
          <w:sz w:val="20"/>
          <w:szCs w:val="20"/>
        </w:rPr>
        <w:t>The Unseen Realm: Recovering the Supernatural Worldview of the Bible</w:t>
      </w:r>
      <w:r>
        <w:rPr>
          <w:rFonts w:ascii="Times New Roman" w:eastAsia="Times New Roman" w:hAnsi="Times New Roman" w:cs="Times New Roman"/>
          <w:sz w:val="20"/>
          <w:szCs w:val="20"/>
        </w:rPr>
        <w:t xml:space="preserve">, First Edition. (Bellingham, WA: Lexham Press, 2015), 113-115 </w:t>
      </w:r>
    </w:p>
  </w:footnote>
  <w:footnote w:id="70">
    <w:p w14:paraId="312D8CA4" w14:textId="77777777" w:rsidR="005E23AC" w:rsidRDefault="006A3099">
      <w:pPr>
        <w:rPr>
          <w:sz w:val="20"/>
          <w:szCs w:val="20"/>
        </w:rPr>
      </w:pPr>
      <w:r>
        <w:rPr>
          <w:vertAlign w:val="superscript"/>
        </w:rPr>
        <w:footnoteRef/>
      </w:r>
      <w:r>
        <w:rPr>
          <w:rFonts w:ascii="Times New Roman" w:eastAsia="Times New Roman" w:hAnsi="Times New Roman" w:cs="Times New Roman"/>
          <w:sz w:val="20"/>
          <w:szCs w:val="20"/>
        </w:rPr>
        <w:t xml:space="preserve"> Heiser, </w:t>
      </w:r>
      <w:r>
        <w:rPr>
          <w:rFonts w:ascii="Times New Roman" w:eastAsia="Times New Roman" w:hAnsi="Times New Roman" w:cs="Times New Roman"/>
          <w:i/>
          <w:sz w:val="20"/>
          <w:szCs w:val="20"/>
        </w:rPr>
        <w:t xml:space="preserve">Unseen Realm, </w:t>
      </w:r>
      <w:r>
        <w:rPr>
          <w:rFonts w:ascii="Times New Roman" w:eastAsia="Times New Roman" w:hAnsi="Times New Roman" w:cs="Times New Roman"/>
          <w:sz w:val="20"/>
          <w:szCs w:val="20"/>
        </w:rPr>
        <w:t>115</w:t>
      </w:r>
    </w:p>
  </w:footnote>
  <w:footnote w:id="71">
    <w:p w14:paraId="3B792E85"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Robbins, Vernon K., </w:t>
      </w:r>
      <w:r>
        <w:rPr>
          <w:rFonts w:ascii="Times New Roman" w:eastAsia="Times New Roman" w:hAnsi="Times New Roman" w:cs="Times New Roman"/>
          <w:i/>
          <w:color w:val="000000"/>
          <w:sz w:val="20"/>
          <w:szCs w:val="20"/>
        </w:rPr>
        <w:t xml:space="preserve">Beginnings and Developments in Socio-Rhetorical Interpretation, </w:t>
      </w:r>
      <w:r>
        <w:rPr>
          <w:rFonts w:ascii="Times New Roman" w:eastAsia="Times New Roman" w:hAnsi="Times New Roman" w:cs="Times New Roman"/>
          <w:color w:val="000000"/>
          <w:sz w:val="20"/>
          <w:szCs w:val="20"/>
        </w:rPr>
        <w:t>(Atlanta, Emory University, May,2004), 1</w:t>
      </w:r>
    </w:p>
  </w:footnote>
  <w:footnote w:id="72">
    <w:p w14:paraId="32FA6DF9" w14:textId="77777777" w:rsidR="005E23AC" w:rsidRDefault="006A3099">
      <w:pPr>
        <w:rPr>
          <w:sz w:val="20"/>
          <w:szCs w:val="20"/>
        </w:rPr>
      </w:pPr>
      <w:r>
        <w:rPr>
          <w:vertAlign w:val="superscript"/>
        </w:rPr>
        <w:footnoteRef/>
      </w:r>
      <w:r>
        <w:rPr>
          <w:rFonts w:ascii="Times New Roman" w:eastAsia="Times New Roman" w:hAnsi="Times New Roman" w:cs="Times New Roman"/>
          <w:sz w:val="20"/>
          <w:szCs w:val="20"/>
        </w:rPr>
        <w:t xml:space="preserve"> Robbins, Vernon K. </w:t>
      </w:r>
      <w:r>
        <w:rPr>
          <w:rFonts w:ascii="Times New Roman" w:eastAsia="Times New Roman" w:hAnsi="Times New Roman" w:cs="Times New Roman"/>
          <w:i/>
          <w:sz w:val="20"/>
          <w:szCs w:val="20"/>
        </w:rPr>
        <w:t>Exploring the Textures of Texts: A Guide to Socio-Rhetorical Interpretation</w:t>
      </w:r>
      <w:r>
        <w:rPr>
          <w:rFonts w:ascii="Times New Roman" w:eastAsia="Times New Roman" w:hAnsi="Times New Roman" w:cs="Times New Roman"/>
          <w:sz w:val="20"/>
          <w:szCs w:val="20"/>
        </w:rPr>
        <w:t>, (New York, NY, Bloomsberry, 1996), 3</w:t>
      </w:r>
    </w:p>
  </w:footnote>
  <w:footnote w:id="73">
    <w:p w14:paraId="4C59B223"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Robbins, </w:t>
      </w:r>
      <w:r>
        <w:rPr>
          <w:rFonts w:ascii="Times New Roman" w:eastAsia="Times New Roman" w:hAnsi="Times New Roman" w:cs="Times New Roman"/>
          <w:i/>
          <w:color w:val="000000"/>
          <w:sz w:val="20"/>
          <w:szCs w:val="20"/>
        </w:rPr>
        <w:t>Exploring Textures</w:t>
      </w:r>
      <w:r>
        <w:rPr>
          <w:rFonts w:ascii="Times New Roman" w:eastAsia="Times New Roman" w:hAnsi="Times New Roman" w:cs="Times New Roman"/>
          <w:color w:val="000000"/>
          <w:sz w:val="20"/>
          <w:szCs w:val="20"/>
        </w:rPr>
        <w:t xml:space="preserve">, 3. </w:t>
      </w:r>
    </w:p>
  </w:footnote>
  <w:footnote w:id="74">
    <w:p w14:paraId="2813C9E6"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deSilva, </w:t>
      </w:r>
      <w:r>
        <w:rPr>
          <w:rFonts w:ascii="Times New Roman" w:eastAsia="Times New Roman" w:hAnsi="Times New Roman" w:cs="Times New Roman"/>
          <w:i/>
          <w:color w:val="000000"/>
          <w:sz w:val="20"/>
          <w:szCs w:val="20"/>
        </w:rPr>
        <w:t>Hebrews</w:t>
      </w:r>
      <w:r>
        <w:rPr>
          <w:rFonts w:ascii="Times New Roman" w:eastAsia="Times New Roman" w:hAnsi="Times New Roman" w:cs="Times New Roman"/>
          <w:color w:val="000000"/>
          <w:sz w:val="20"/>
          <w:szCs w:val="20"/>
        </w:rPr>
        <w:t xml:space="preserve">, xii </w:t>
      </w:r>
    </w:p>
  </w:footnote>
  <w:footnote w:id="75">
    <w:p w14:paraId="1A354696"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Robbins, </w:t>
      </w:r>
      <w:r>
        <w:rPr>
          <w:rFonts w:ascii="Times New Roman" w:eastAsia="Times New Roman" w:hAnsi="Times New Roman" w:cs="Times New Roman"/>
          <w:i/>
          <w:color w:val="000000"/>
          <w:sz w:val="20"/>
          <w:szCs w:val="20"/>
        </w:rPr>
        <w:t>Exploring</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i/>
          <w:color w:val="000000"/>
          <w:sz w:val="20"/>
          <w:szCs w:val="20"/>
        </w:rPr>
        <w:t>Textures,</w:t>
      </w:r>
      <w:r>
        <w:rPr>
          <w:rFonts w:ascii="Times New Roman" w:eastAsia="Times New Roman" w:hAnsi="Times New Roman" w:cs="Times New Roman"/>
          <w:color w:val="000000"/>
          <w:sz w:val="20"/>
          <w:szCs w:val="20"/>
        </w:rPr>
        <w:t xml:space="preserve">3 </w:t>
      </w:r>
    </w:p>
  </w:footnote>
  <w:footnote w:id="76">
    <w:p w14:paraId="08E1ADA8"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Robbins, </w:t>
      </w:r>
      <w:r>
        <w:rPr>
          <w:rFonts w:ascii="Times New Roman" w:eastAsia="Times New Roman" w:hAnsi="Times New Roman" w:cs="Times New Roman"/>
          <w:i/>
          <w:color w:val="000000"/>
          <w:sz w:val="20"/>
          <w:szCs w:val="20"/>
        </w:rPr>
        <w:t>Exploring Textures</w:t>
      </w:r>
      <w:r>
        <w:rPr>
          <w:rFonts w:ascii="Times New Roman" w:eastAsia="Times New Roman" w:hAnsi="Times New Roman" w:cs="Times New Roman"/>
          <w:color w:val="000000"/>
          <w:sz w:val="20"/>
          <w:szCs w:val="20"/>
        </w:rPr>
        <w:t>, 71</w:t>
      </w:r>
    </w:p>
  </w:footnote>
  <w:footnote w:id="77">
    <w:p w14:paraId="54CFAC3E" w14:textId="77777777" w:rsidR="005E23AC" w:rsidRDefault="006A3099">
      <w:pPr>
        <w:rPr>
          <w:sz w:val="20"/>
          <w:szCs w:val="20"/>
        </w:rPr>
      </w:pPr>
      <w:r>
        <w:rPr>
          <w:vertAlign w:val="superscript"/>
        </w:rPr>
        <w:footnoteRef/>
      </w:r>
      <w:r>
        <w:rPr>
          <w:rFonts w:ascii="Times New Roman" w:eastAsia="Times New Roman" w:hAnsi="Times New Roman" w:cs="Times New Roman"/>
          <w:sz w:val="20"/>
          <w:szCs w:val="20"/>
        </w:rPr>
        <w:t xml:space="preserve"> Brosend, William F. </w:t>
      </w:r>
      <w:r>
        <w:rPr>
          <w:rFonts w:ascii="Times New Roman" w:eastAsia="Times New Roman" w:hAnsi="Times New Roman" w:cs="Times New Roman"/>
          <w:i/>
          <w:sz w:val="20"/>
          <w:szCs w:val="20"/>
        </w:rPr>
        <w:t>James and Jude: NCBC</w:t>
      </w:r>
      <w:r>
        <w:rPr>
          <w:rFonts w:ascii="Times New Roman" w:eastAsia="Times New Roman" w:hAnsi="Times New Roman" w:cs="Times New Roman"/>
          <w:sz w:val="20"/>
          <w:szCs w:val="20"/>
        </w:rPr>
        <w:t>, (Cambridge, Cambridge University Press, 2004), 17</w:t>
      </w:r>
    </w:p>
  </w:footnote>
  <w:footnote w:id="78">
    <w:p w14:paraId="3E0FB8CA" w14:textId="77777777" w:rsidR="005E23AC" w:rsidRDefault="006A3099">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rPr>
        <w:t xml:space="preserve"> </w:t>
      </w:r>
      <w:r>
        <w:rPr>
          <w:rFonts w:ascii="Times New Roman" w:eastAsia="Times New Roman" w:hAnsi="Times New Roman" w:cs="Times New Roman"/>
          <w:sz w:val="20"/>
          <w:szCs w:val="20"/>
        </w:rPr>
        <w:t xml:space="preserve">deSilva, David Arthur, </w:t>
      </w:r>
      <w:r>
        <w:rPr>
          <w:rFonts w:ascii="Times New Roman" w:eastAsia="Times New Roman" w:hAnsi="Times New Roman" w:cs="Times New Roman"/>
          <w:i/>
          <w:sz w:val="20"/>
          <w:szCs w:val="20"/>
        </w:rPr>
        <w:t>Perseverance in Gratitude: A Socio-Rhetorical Commentary on the Epistle to the Hebrews</w:t>
      </w:r>
      <w:r>
        <w:rPr>
          <w:rFonts w:ascii="Times New Roman" w:eastAsia="Times New Roman" w:hAnsi="Times New Roman" w:cs="Times New Roman"/>
          <w:sz w:val="20"/>
          <w:szCs w:val="20"/>
        </w:rPr>
        <w:t>, (Eerdmans Publishing, Grand Rapids, MI, 2000), xii</w:t>
      </w:r>
    </w:p>
  </w:footnote>
  <w:footnote w:id="79">
    <w:p w14:paraId="7C30F74B"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Robbins, </w:t>
      </w:r>
      <w:r>
        <w:rPr>
          <w:rFonts w:ascii="Times New Roman" w:eastAsia="Times New Roman" w:hAnsi="Times New Roman" w:cs="Times New Roman"/>
          <w:i/>
          <w:color w:val="000000"/>
          <w:sz w:val="20"/>
          <w:szCs w:val="20"/>
        </w:rPr>
        <w:t>Exploring</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i/>
          <w:color w:val="000000"/>
          <w:sz w:val="20"/>
          <w:szCs w:val="20"/>
        </w:rPr>
        <w:t>Textures,</w:t>
      </w:r>
      <w:r>
        <w:rPr>
          <w:rFonts w:ascii="Times New Roman" w:eastAsia="Times New Roman" w:hAnsi="Times New Roman" w:cs="Times New Roman"/>
          <w:color w:val="000000"/>
          <w:sz w:val="20"/>
          <w:szCs w:val="20"/>
        </w:rPr>
        <w:t>4</w:t>
      </w:r>
    </w:p>
  </w:footnote>
  <w:footnote w:id="80">
    <w:p w14:paraId="7D8BF73F"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Robbins, </w:t>
      </w:r>
      <w:r>
        <w:rPr>
          <w:rFonts w:ascii="Times New Roman" w:eastAsia="Times New Roman" w:hAnsi="Times New Roman" w:cs="Times New Roman"/>
          <w:i/>
          <w:color w:val="000000"/>
          <w:sz w:val="20"/>
          <w:szCs w:val="20"/>
        </w:rPr>
        <w:t>Exploring Textures</w:t>
      </w:r>
      <w:r>
        <w:rPr>
          <w:rFonts w:ascii="Times New Roman" w:eastAsia="Times New Roman" w:hAnsi="Times New Roman" w:cs="Times New Roman"/>
          <w:color w:val="000000"/>
          <w:sz w:val="20"/>
          <w:szCs w:val="20"/>
        </w:rPr>
        <w:t xml:space="preserve">, 96 </w:t>
      </w:r>
    </w:p>
  </w:footnote>
  <w:footnote w:id="81">
    <w:p w14:paraId="7D992797"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Robbins, </w:t>
      </w:r>
      <w:r>
        <w:rPr>
          <w:rFonts w:ascii="Times New Roman" w:eastAsia="Times New Roman" w:hAnsi="Times New Roman" w:cs="Times New Roman"/>
          <w:i/>
          <w:color w:val="000000"/>
          <w:sz w:val="20"/>
          <w:szCs w:val="20"/>
        </w:rPr>
        <w:t>Exploring Textures</w:t>
      </w:r>
      <w:r>
        <w:rPr>
          <w:rFonts w:ascii="Times New Roman" w:eastAsia="Times New Roman" w:hAnsi="Times New Roman" w:cs="Times New Roman"/>
          <w:color w:val="000000"/>
          <w:sz w:val="20"/>
          <w:szCs w:val="20"/>
        </w:rPr>
        <w:t>, 4</w:t>
      </w:r>
    </w:p>
  </w:footnote>
  <w:footnote w:id="82">
    <w:p w14:paraId="7790C7DC"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deSilva, </w:t>
      </w:r>
      <w:r>
        <w:rPr>
          <w:rFonts w:ascii="Times New Roman" w:eastAsia="Times New Roman" w:hAnsi="Times New Roman" w:cs="Times New Roman"/>
          <w:i/>
          <w:color w:val="000000"/>
          <w:sz w:val="20"/>
          <w:szCs w:val="20"/>
        </w:rPr>
        <w:t xml:space="preserve">Hebrews, </w:t>
      </w:r>
      <w:r>
        <w:rPr>
          <w:rFonts w:ascii="Times New Roman" w:eastAsia="Times New Roman" w:hAnsi="Times New Roman" w:cs="Times New Roman"/>
          <w:color w:val="000000"/>
          <w:sz w:val="20"/>
          <w:szCs w:val="20"/>
        </w:rPr>
        <w:t>xiii</w:t>
      </w:r>
    </w:p>
  </w:footnote>
  <w:footnote w:id="83">
    <w:p w14:paraId="08503471" w14:textId="77777777" w:rsidR="005E23AC" w:rsidRDefault="006A3099">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Brosend, </w:t>
      </w:r>
      <w:r>
        <w:rPr>
          <w:rFonts w:ascii="Times New Roman" w:eastAsia="Times New Roman" w:hAnsi="Times New Roman" w:cs="Times New Roman"/>
          <w:i/>
          <w:sz w:val="20"/>
          <w:szCs w:val="20"/>
        </w:rPr>
        <w:t>James and Jude</w:t>
      </w:r>
      <w:r>
        <w:rPr>
          <w:rFonts w:ascii="Times New Roman" w:eastAsia="Times New Roman" w:hAnsi="Times New Roman" w:cs="Times New Roman"/>
          <w:sz w:val="20"/>
          <w:szCs w:val="20"/>
        </w:rPr>
        <w:t>, 19</w:t>
      </w:r>
    </w:p>
  </w:footnote>
  <w:footnote w:id="84">
    <w:p w14:paraId="07F88DB9" w14:textId="77777777" w:rsidR="005E23AC" w:rsidRDefault="006A3099">
      <w:pPr>
        <w:rPr>
          <w:sz w:val="20"/>
          <w:szCs w:val="20"/>
        </w:rPr>
      </w:pPr>
      <w:r>
        <w:rPr>
          <w:vertAlign w:val="superscript"/>
        </w:rPr>
        <w:footnoteRef/>
      </w:r>
      <w:r>
        <w:rPr>
          <w:rFonts w:ascii="Times New Roman" w:eastAsia="Times New Roman" w:hAnsi="Times New Roman" w:cs="Times New Roman"/>
          <w:sz w:val="20"/>
          <w:szCs w:val="20"/>
        </w:rPr>
        <w:t xml:space="preserve"> deSilva, Hebrews, xiii. In my opinion, the socio-rhetorical method gives precedence over the grammatical-historical method. While the grammatical-historical method has its advantages, it misses the mark when it comes to examining the world of the author through the textual conversations with the literary, textual, and social world of the Biblical author’s world. While the Socio-rhetorical method is a form of the grammatical-historical/critical method, it (Grammatical-historical method) has its “focus on the linguistic history but be reluctant to give due recognition to the cultural or historical conditioning of the perspective of the author of the text.” [Daniel R. Sanchez, </w:t>
      </w:r>
      <w:r>
        <w:rPr>
          <w:rFonts w:ascii="Times New Roman" w:eastAsia="Times New Roman" w:hAnsi="Times New Roman" w:cs="Times New Roman"/>
          <w:i/>
          <w:sz w:val="20"/>
          <w:szCs w:val="20"/>
        </w:rPr>
        <w:t>Contextualization in the Hermeneutical Process," in Biblical Hermeneutics</w:t>
      </w:r>
      <w:r>
        <w:rPr>
          <w:rFonts w:ascii="Times New Roman" w:eastAsia="Times New Roman" w:hAnsi="Times New Roman" w:cs="Times New Roman"/>
          <w:sz w:val="20"/>
          <w:szCs w:val="20"/>
        </w:rPr>
        <w:t xml:space="preserve">, (Nashville: Broadman &amp; Holman), 377]; “One of the weaknesses … of the grammatical-historical method was that it often neglected this relationship (cultural and rhetoric). The socio-rhetorical model causes the preacher to spend more time examining how the text has been constructed and asking why the original author shaped the message in this manner.” [Joseph Buchanan, </w:t>
      </w:r>
      <w:r>
        <w:rPr>
          <w:rFonts w:ascii="Times New Roman" w:eastAsia="Times New Roman" w:hAnsi="Times New Roman" w:cs="Times New Roman"/>
          <w:i/>
          <w:sz w:val="20"/>
          <w:szCs w:val="20"/>
        </w:rPr>
        <w:t>The Benefits of Socio-Rhetorical Analysis for Expository Preaching</w:t>
      </w:r>
      <w:r>
        <w:rPr>
          <w:rFonts w:ascii="Times New Roman" w:eastAsia="Times New Roman" w:hAnsi="Times New Roman" w:cs="Times New Roman"/>
          <w:sz w:val="20"/>
          <w:szCs w:val="20"/>
        </w:rPr>
        <w:t>, (Liberty Baptist, 2008),133]</w:t>
      </w:r>
      <w:r>
        <w:rPr>
          <w:sz w:val="20"/>
          <w:szCs w:val="20"/>
        </w:rPr>
        <w:t xml:space="preserve"> </w:t>
      </w:r>
    </w:p>
  </w:footnote>
  <w:footnote w:id="85">
    <w:p w14:paraId="6561AE4C" w14:textId="77777777" w:rsidR="005E23AC" w:rsidRDefault="006A3099">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vertAlign w:val="superscript"/>
        </w:rPr>
        <w:t xml:space="preserve"> </w:t>
      </w:r>
      <w:r>
        <w:rPr>
          <w:rFonts w:ascii="Times New Roman" w:eastAsia="Times New Roman" w:hAnsi="Times New Roman" w:cs="Times New Roman"/>
          <w:sz w:val="20"/>
          <w:szCs w:val="20"/>
        </w:rPr>
        <w:t xml:space="preserve">David A. DeSilva, </w:t>
      </w:r>
      <w:r>
        <w:rPr>
          <w:rFonts w:ascii="Times New Roman" w:eastAsia="Times New Roman" w:hAnsi="Times New Roman" w:cs="Times New Roman"/>
          <w:i/>
          <w:sz w:val="20"/>
          <w:szCs w:val="20"/>
        </w:rPr>
        <w:t>"Embodying the Word," in The Face of New Testament Studies: A Survey of Recent Research,</w:t>
      </w:r>
      <w:r>
        <w:rPr>
          <w:rFonts w:ascii="Times New Roman" w:eastAsia="Times New Roman" w:hAnsi="Times New Roman" w:cs="Times New Roman"/>
          <w:sz w:val="20"/>
          <w:szCs w:val="20"/>
        </w:rPr>
        <w:t xml:space="preserve"> (Grand Rapids: Baker Academic, 2004), 119 </w:t>
      </w:r>
    </w:p>
  </w:footnote>
  <w:footnote w:id="86">
    <w:p w14:paraId="6F688D5F" w14:textId="77777777" w:rsidR="005E23AC" w:rsidRDefault="006A3099">
      <w:pPr>
        <w:rPr>
          <w:sz w:val="20"/>
          <w:szCs w:val="20"/>
        </w:rPr>
      </w:pPr>
      <w:r>
        <w:rPr>
          <w:vertAlign w:val="superscript"/>
        </w:rPr>
        <w:footnoteRef/>
      </w:r>
      <w:r>
        <w:rPr>
          <w:rFonts w:ascii="Times New Roman" w:eastAsia="Times New Roman" w:hAnsi="Times New Roman" w:cs="Times New Roman"/>
          <w:sz w:val="20"/>
          <w:szCs w:val="20"/>
        </w:rPr>
        <w:t xml:space="preserve"> Paul J. Achtemeier, </w:t>
      </w:r>
      <w:r>
        <w:rPr>
          <w:rFonts w:ascii="Times New Roman" w:eastAsia="Times New Roman" w:hAnsi="Times New Roman" w:cs="Times New Roman"/>
          <w:i/>
          <w:sz w:val="20"/>
          <w:szCs w:val="20"/>
        </w:rPr>
        <w:t>1 Peter: A Commentary on First Peter</w:t>
      </w:r>
      <w:r>
        <w:rPr>
          <w:rFonts w:ascii="Times New Roman" w:eastAsia="Times New Roman" w:hAnsi="Times New Roman" w:cs="Times New Roman"/>
          <w:sz w:val="20"/>
          <w:szCs w:val="20"/>
        </w:rPr>
        <w:t>, ed. Eldon Jay Epp, Hermeneia—a Critical and Historical Commentary on the Bible (Minneapolis, MN: Fortress Press, 1996), 180.</w:t>
      </w:r>
    </w:p>
  </w:footnote>
  <w:footnote w:id="87">
    <w:p w14:paraId="190467B5" w14:textId="77777777" w:rsidR="005E23AC" w:rsidRDefault="006A3099">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Paul J. Achtemeier, </w:t>
      </w:r>
      <w:r>
        <w:rPr>
          <w:rFonts w:ascii="Times New Roman" w:eastAsia="Times New Roman" w:hAnsi="Times New Roman" w:cs="Times New Roman"/>
          <w:i/>
          <w:sz w:val="20"/>
          <w:szCs w:val="20"/>
        </w:rPr>
        <w:t>1 Peter: A Commentary on First Peter</w:t>
      </w:r>
      <w:r>
        <w:rPr>
          <w:rFonts w:ascii="Times New Roman" w:eastAsia="Times New Roman" w:hAnsi="Times New Roman" w:cs="Times New Roman"/>
          <w:sz w:val="20"/>
          <w:szCs w:val="20"/>
        </w:rPr>
        <w:t>, ed. Eldon Jay Epp, Hermeneia—a Critical and Historical Commentary on the Bible (Minneapolis, MN: Fortress Press, 1996), 181–182.</w:t>
      </w:r>
    </w:p>
  </w:footnote>
  <w:footnote w:id="88">
    <w:p w14:paraId="590B3756"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Witherington III, Ben, </w:t>
      </w:r>
      <w:r>
        <w:rPr>
          <w:rFonts w:ascii="Times New Roman" w:eastAsia="Times New Roman" w:hAnsi="Times New Roman" w:cs="Times New Roman"/>
          <w:i/>
          <w:color w:val="000000"/>
          <w:sz w:val="20"/>
          <w:szCs w:val="20"/>
        </w:rPr>
        <w:t>Revelation NCBC</w:t>
      </w:r>
      <w:r>
        <w:rPr>
          <w:rFonts w:ascii="Times New Roman" w:eastAsia="Times New Roman" w:hAnsi="Times New Roman" w:cs="Times New Roman"/>
          <w:color w:val="000000"/>
          <w:sz w:val="20"/>
          <w:szCs w:val="20"/>
        </w:rPr>
        <w:t>, (New York, Cambridge, 2003), 186</w:t>
      </w:r>
    </w:p>
  </w:footnote>
  <w:footnote w:id="89">
    <w:p w14:paraId="1E56BB01"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Yoder, John Howard, </w:t>
      </w:r>
      <w:r>
        <w:rPr>
          <w:rFonts w:ascii="Times New Roman" w:eastAsia="Times New Roman" w:hAnsi="Times New Roman" w:cs="Times New Roman"/>
          <w:i/>
          <w:color w:val="000000"/>
          <w:sz w:val="20"/>
          <w:szCs w:val="20"/>
        </w:rPr>
        <w:t>Politics of Jesus</w:t>
      </w:r>
      <w:r>
        <w:rPr>
          <w:rFonts w:ascii="Times New Roman" w:eastAsia="Times New Roman" w:hAnsi="Times New Roman" w:cs="Times New Roman"/>
          <w:color w:val="000000"/>
          <w:sz w:val="20"/>
          <w:szCs w:val="20"/>
        </w:rPr>
        <w:t xml:space="preserve">, (Grand Rapids, Eerdmans, 1972), 210. Post-Constantinian can be defined in a similar way as the 2 kingdoms view by Luther above: the separation of “spheres” and the distinction of the spiritual and the temporal. </w:t>
      </w:r>
    </w:p>
  </w:footnote>
  <w:footnote w:id="90">
    <w:p w14:paraId="0050EA43"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 xml:space="preserve">An end-historical and church-historical views have much to critique, which has been done in short form above. The biggest issue to disqualify these views is the fact that they were not held by the </w:t>
      </w:r>
      <w:r>
        <w:rPr>
          <w:rFonts w:ascii="Times New Roman" w:eastAsia="Times New Roman" w:hAnsi="Times New Roman" w:cs="Times New Roman"/>
          <w:sz w:val="20"/>
          <w:szCs w:val="20"/>
        </w:rPr>
        <w:t>earliest</w:t>
      </w:r>
      <w:r>
        <w:rPr>
          <w:rFonts w:ascii="Times New Roman" w:eastAsia="Times New Roman" w:hAnsi="Times New Roman" w:cs="Times New Roman"/>
          <w:color w:val="000000"/>
          <w:sz w:val="20"/>
          <w:szCs w:val="20"/>
        </w:rPr>
        <w:t xml:space="preserve"> interpreters of the bible and that they ignore the seven churches, making the letter completely irrelevant to the original audience. Both are very individualistic and western interpretations that would be foreign to the writers of the Bible. I have selected the approaches that would have made sense in its original context and that can also apply to us today based on what the text meant to the original audience. This is central to the socio-rhetorical method.</w:t>
      </w:r>
    </w:p>
  </w:footnote>
  <w:footnote w:id="91">
    <w:p w14:paraId="3B37B819" w14:textId="77777777" w:rsidR="005E23AC" w:rsidRDefault="006A3099">
      <w:pPr>
        <w:pBdr>
          <w:top w:val="nil"/>
          <w:left w:val="nil"/>
          <w:bottom w:val="nil"/>
          <w:right w:val="nil"/>
          <w:between w:val="nil"/>
        </w:pBdr>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Michael J. Gorman, </w:t>
      </w:r>
      <w:r>
        <w:rPr>
          <w:rFonts w:ascii="Times New Roman" w:eastAsia="Times New Roman" w:hAnsi="Times New Roman" w:cs="Times New Roman"/>
          <w:i/>
          <w:color w:val="000000"/>
          <w:sz w:val="20"/>
          <w:szCs w:val="20"/>
        </w:rPr>
        <w:t>Reading Revelation Responsibly: Uncivil Worship and Witness: Following the Lamb into the New Creation</w:t>
      </w:r>
      <w:r>
        <w:rPr>
          <w:rFonts w:ascii="Times New Roman" w:eastAsia="Times New Roman" w:hAnsi="Times New Roman" w:cs="Times New Roman"/>
          <w:color w:val="000000"/>
          <w:sz w:val="20"/>
          <w:szCs w:val="20"/>
        </w:rPr>
        <w:t xml:space="preserve"> (Eugene, OR: Cascade Books, 2011), 43, 56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E4C57"/>
    <w:multiLevelType w:val="multilevel"/>
    <w:tmpl w:val="ECDC3F28"/>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 w15:restartNumberingAfterBreak="0">
    <w:nsid w:val="02F94B1C"/>
    <w:multiLevelType w:val="multilevel"/>
    <w:tmpl w:val="5C3AB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0622A1"/>
    <w:multiLevelType w:val="multilevel"/>
    <w:tmpl w:val="8974D050"/>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15:restartNumberingAfterBreak="0">
    <w:nsid w:val="20C02BD7"/>
    <w:multiLevelType w:val="multilevel"/>
    <w:tmpl w:val="4A946F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7D72FB2"/>
    <w:multiLevelType w:val="multilevel"/>
    <w:tmpl w:val="F036F7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7E316F4"/>
    <w:multiLevelType w:val="multilevel"/>
    <w:tmpl w:val="85E8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263DA3"/>
    <w:multiLevelType w:val="multilevel"/>
    <w:tmpl w:val="B28885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32588265">
    <w:abstractNumId w:val="2"/>
  </w:num>
  <w:num w:numId="2" w16cid:durableId="2008827919">
    <w:abstractNumId w:val="4"/>
  </w:num>
  <w:num w:numId="3" w16cid:durableId="1992364871">
    <w:abstractNumId w:val="3"/>
  </w:num>
  <w:num w:numId="4" w16cid:durableId="529801660">
    <w:abstractNumId w:val="6"/>
  </w:num>
  <w:num w:numId="5" w16cid:durableId="279721922">
    <w:abstractNumId w:val="0"/>
  </w:num>
  <w:num w:numId="6" w16cid:durableId="165749107">
    <w:abstractNumId w:val="5"/>
  </w:num>
  <w:num w:numId="7" w16cid:durableId="10671940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23AC"/>
    <w:rsid w:val="00003000"/>
    <w:rsid w:val="0003281B"/>
    <w:rsid w:val="000540B6"/>
    <w:rsid w:val="000D5CB8"/>
    <w:rsid w:val="00190563"/>
    <w:rsid w:val="002244F7"/>
    <w:rsid w:val="00232AFC"/>
    <w:rsid w:val="00256C6D"/>
    <w:rsid w:val="002660B9"/>
    <w:rsid w:val="002A3BBA"/>
    <w:rsid w:val="003C757D"/>
    <w:rsid w:val="00566D05"/>
    <w:rsid w:val="005A0B90"/>
    <w:rsid w:val="005E23AC"/>
    <w:rsid w:val="00634C0C"/>
    <w:rsid w:val="006A3099"/>
    <w:rsid w:val="006F2051"/>
    <w:rsid w:val="00763B49"/>
    <w:rsid w:val="007711CA"/>
    <w:rsid w:val="007C3B6D"/>
    <w:rsid w:val="00804A73"/>
    <w:rsid w:val="008660B5"/>
    <w:rsid w:val="008F40C4"/>
    <w:rsid w:val="00965563"/>
    <w:rsid w:val="009B0D96"/>
    <w:rsid w:val="009E6ECB"/>
    <w:rsid w:val="00A32846"/>
    <w:rsid w:val="00B702F2"/>
    <w:rsid w:val="00C022C4"/>
    <w:rsid w:val="00C87806"/>
    <w:rsid w:val="00CD20AD"/>
    <w:rsid w:val="00CD7655"/>
    <w:rsid w:val="00D70818"/>
    <w:rsid w:val="00DF4D28"/>
    <w:rsid w:val="00E239B4"/>
    <w:rsid w:val="00E3203C"/>
    <w:rsid w:val="00F224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7B2BA"/>
  <w15:docId w15:val="{5731A756-6F48-4BE1-87BC-5276D1520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outlineLvl w:val="0"/>
    </w:pPr>
    <w:rPr>
      <w:rFonts w:ascii="Times New Roman" w:eastAsia="Times New Roman" w:hAnsi="Times New Roman" w:cs="Times New Roman"/>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0" w:type="dxa"/>
        <w:right w:w="0" w:type="dxa"/>
      </w:tblCellMar>
    </w:tblPr>
  </w:style>
  <w:style w:type="character" w:styleId="Hyperlink">
    <w:name w:val="Hyperlink"/>
    <w:basedOn w:val="DefaultParagraphFont"/>
    <w:uiPriority w:val="99"/>
    <w:unhideWhenUsed/>
    <w:rsid w:val="00D70818"/>
    <w:rPr>
      <w:color w:val="0000FF" w:themeColor="hyperlink"/>
      <w:u w:val="single"/>
    </w:rPr>
  </w:style>
  <w:style w:type="character" w:styleId="UnresolvedMention">
    <w:name w:val="Unresolved Mention"/>
    <w:basedOn w:val="DefaultParagraphFont"/>
    <w:uiPriority w:val="99"/>
    <w:semiHidden/>
    <w:unhideWhenUsed/>
    <w:rsid w:val="00D70818"/>
    <w:rPr>
      <w:color w:val="605E5C"/>
      <w:shd w:val="clear" w:color="auto" w:fill="E1DFDD"/>
    </w:rPr>
  </w:style>
  <w:style w:type="paragraph" w:styleId="BodyText">
    <w:name w:val="Body Text"/>
    <w:basedOn w:val="Normal"/>
    <w:link w:val="BodyTextChar"/>
    <w:rsid w:val="003C757D"/>
    <w:pPr>
      <w:spacing w:after="120"/>
    </w:pPr>
    <w:rPr>
      <w:rFonts w:ascii="Times New Roman" w:eastAsia="Times New Roman" w:hAnsi="Times New Roman" w:cs="Times New Roman"/>
    </w:rPr>
  </w:style>
  <w:style w:type="character" w:customStyle="1" w:styleId="BodyTextChar">
    <w:name w:val="Body Text Char"/>
    <w:basedOn w:val="DefaultParagraphFont"/>
    <w:link w:val="BodyText"/>
    <w:rsid w:val="003C757D"/>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2969011">
      <w:bodyDiv w:val="1"/>
      <w:marLeft w:val="0"/>
      <w:marRight w:val="0"/>
      <w:marTop w:val="0"/>
      <w:marBottom w:val="0"/>
      <w:divBdr>
        <w:top w:val="none" w:sz="0" w:space="0" w:color="auto"/>
        <w:left w:val="none" w:sz="0" w:space="0" w:color="auto"/>
        <w:bottom w:val="none" w:sz="0" w:space="0" w:color="auto"/>
        <w:right w:val="none" w:sz="0" w:space="0" w:color="auto"/>
      </w:divBdr>
    </w:div>
    <w:div w:id="1350522324">
      <w:bodyDiv w:val="1"/>
      <w:marLeft w:val="0"/>
      <w:marRight w:val="0"/>
      <w:marTop w:val="0"/>
      <w:marBottom w:val="0"/>
      <w:divBdr>
        <w:top w:val="none" w:sz="0" w:space="0" w:color="auto"/>
        <w:left w:val="none" w:sz="0" w:space="0" w:color="auto"/>
        <w:bottom w:val="none" w:sz="0" w:space="0" w:color="auto"/>
        <w:right w:val="none" w:sz="0" w:space="0" w:color="auto"/>
      </w:divBdr>
    </w:div>
    <w:div w:id="1844587152">
      <w:bodyDiv w:val="1"/>
      <w:marLeft w:val="0"/>
      <w:marRight w:val="0"/>
      <w:marTop w:val="0"/>
      <w:marBottom w:val="0"/>
      <w:divBdr>
        <w:top w:val="none" w:sz="0" w:space="0" w:color="auto"/>
        <w:left w:val="none" w:sz="0" w:space="0" w:color="auto"/>
        <w:bottom w:val="none" w:sz="0" w:space="0" w:color="auto"/>
        <w:right w:val="none" w:sz="0" w:space="0" w:color="auto"/>
      </w:divBdr>
      <w:divsChild>
        <w:div w:id="117646601">
          <w:marLeft w:val="180"/>
          <w:marRight w:val="180"/>
          <w:marTop w:val="45"/>
          <w:marBottom w:val="45"/>
          <w:divBdr>
            <w:top w:val="none" w:sz="0" w:space="0" w:color="auto"/>
            <w:left w:val="none" w:sz="0" w:space="0" w:color="auto"/>
            <w:bottom w:val="none" w:sz="0" w:space="0" w:color="auto"/>
            <w:right w:val="none" w:sz="0" w:space="0" w:color="auto"/>
          </w:divBdr>
        </w:div>
      </w:divsChild>
    </w:div>
    <w:div w:id="2137600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29</Pages>
  <Words>10285</Words>
  <Characters>58627</Characters>
  <Application>Microsoft Office Word</Application>
  <DocSecurity>0</DocSecurity>
  <Lines>488</Lines>
  <Paragraphs>137</Paragraphs>
  <ScaleCrop>false</ScaleCrop>
  <Company/>
  <LinksUpToDate>false</LinksUpToDate>
  <CharactersWithSpaces>68775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Ryan Bensheimer</cp:lastModifiedBy>
  <cp:revision>5</cp:revision>
  <dcterms:created xsi:type="dcterms:W3CDTF">2025-04-19T15:56:00Z</dcterms:created>
  <dcterms:modified xsi:type="dcterms:W3CDTF">2025-04-19T16:11:00Z</dcterms:modified>
</cp:coreProperties>
</file>