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Independent Study Proposal</w:t>
      </w:r>
    </w:p>
    <w:p>
      <w:r>
        <w:rPr>
          <w:b/>
          <w:color w:val="976C40"/>
        </w:rPr>
        <w:t>EDITABLE STUDENT TEMPLATE  |  EXAMPLE: CROSS-CULTURAL MISSIONS</w:t>
      </w:r>
    </w:p>
    <w:p>
      <w:r>
        <w:t>Replace the blue italicized sample language with your own project details. This example illustrates a proposed three-credit ministry-based independent study; approval is required before work is counted toward credit.</w:t>
      </w:r>
    </w:p>
    <w:p>
      <w:pPr>
        <w:pStyle w:val="Heading1"/>
      </w:pPr>
      <w:r>
        <w:t>1  Student &amp; course information</w:t>
      </w:r>
    </w:p>
    <w:p>
      <w:pPr>
        <w:spacing w:after="100"/>
      </w:pPr>
      <w:r>
        <w:rPr>
          <w:b/>
          <w:color w:val="1D2F40"/>
        </w:rPr>
        <w:t xml:space="preserve">Student name:  </w:t>
      </w:r>
      <w:r>
        <w:rPr>
          <w:i/>
          <w:color w:val="255B83"/>
        </w:rPr>
        <w:t>[Your full name]</w:t>
      </w:r>
    </w:p>
    <w:p>
      <w:pPr>
        <w:spacing w:after="100"/>
      </w:pPr>
      <w:r>
        <w:rPr>
          <w:b/>
          <w:color w:val="1D2F40"/>
        </w:rPr>
        <w:t xml:space="preserve">Degree program:  </w:t>
      </w:r>
      <w:r>
        <w:rPr>
          <w:i/>
          <w:color w:val="255B83"/>
        </w:rPr>
        <w:t>[Bachelor / Master / Doctoral program]</w:t>
      </w:r>
    </w:p>
    <w:p>
      <w:pPr>
        <w:spacing w:after="100"/>
      </w:pPr>
      <w:r>
        <w:rPr>
          <w:b/>
          <w:color w:val="1D2F40"/>
        </w:rPr>
        <w:t xml:space="preserve">Proposed course title:  </w:t>
      </w:r>
      <w:r>
        <w:rPr>
          <w:i/>
          <w:color w:val="255B83"/>
        </w:rPr>
        <w:t>Cross-Cultural Missions: Theology and Field Experience</w:t>
      </w:r>
    </w:p>
    <w:p>
      <w:pPr>
        <w:spacing w:after="100"/>
      </w:pPr>
      <w:r>
        <w:rPr>
          <w:b/>
          <w:color w:val="1D2F40"/>
        </w:rPr>
        <w:t xml:space="preserve">Credits requested:  </w:t>
      </w:r>
      <w:r>
        <w:rPr>
          <w:i/>
          <w:color w:val="255B83"/>
        </w:rPr>
        <w:t>3 semester credits</w:t>
      </w:r>
    </w:p>
    <w:p>
      <w:pPr>
        <w:spacing w:after="100"/>
      </w:pPr>
      <w:r>
        <w:rPr>
          <w:b/>
          <w:color w:val="1D2F40"/>
        </w:rPr>
        <w:t xml:space="preserve">Proposed dates:  </w:t>
      </w:r>
      <w:r>
        <w:rPr>
          <w:i/>
          <w:color w:val="255B83"/>
        </w:rPr>
        <w:t>[Start date] – [Completion date]</w:t>
      </w:r>
    </w:p>
    <w:p>
      <w:pPr>
        <w:spacing w:after="100"/>
      </w:pPr>
      <w:r>
        <w:rPr>
          <w:b/>
          <w:color w:val="1D2F40"/>
        </w:rPr>
        <w:t xml:space="preserve">Advisor:  </w:t>
      </w:r>
      <w:r>
        <w:rPr>
          <w:i/>
          <w:color w:val="255B83"/>
        </w:rPr>
        <w:t>[TKC academic advisor]</w:t>
      </w:r>
    </w:p>
    <w:p>
      <w:pPr>
        <w:pStyle w:val="Heading1"/>
      </w:pPr>
      <w:r>
        <w:t>2  Description &amp; rationale</w:t>
      </w:r>
    </w:p>
    <w:p>
      <w:r>
        <w:rPr>
          <w:i/>
          <w:color w:val="255B83"/>
        </w:rPr>
        <w:t>This independent study will integrate biblical and theological research with a ten-day cross-cultural ministry trip. Preparation will focus on the biblical mission of God, contextualization, and practices of respectful partnership with local Christian leaders. Field activities and post-trip reflection will evaluate how scholarly learning informed ministry decisions and spiritual formation.</w:t>
      </w:r>
    </w:p>
    <w:p>
      <w:pPr>
        <w:pStyle w:val="Heading1"/>
      </w:pPr>
      <w:r>
        <w:t>3  Learning objectives</w:t>
      </w:r>
    </w:p>
    <w:p>
      <w:r>
        <w:t>By the conclusion of this independent study, I will be able to:</w:t>
      </w:r>
    </w:p>
    <w:p>
      <w:r>
        <w:rPr>
          <w:i/>
          <w:color w:val="255B83"/>
        </w:rPr>
        <w:t>•  Explain central biblical themes of mission using representative Old and New Testament passages.</w:t>
      </w:r>
    </w:p>
    <w:p>
      <w:r>
        <w:rPr>
          <w:i/>
          <w:color w:val="255B83"/>
        </w:rPr>
        <w:t>•  Evaluate principles of cross-cultural communication and contextual ministry.</w:t>
      </w:r>
    </w:p>
    <w:p>
      <w:r>
        <w:rPr>
          <w:i/>
          <w:color w:val="255B83"/>
        </w:rPr>
        <w:t>•  Compare insights from assigned books, lectures, and ministry leader interviews.</w:t>
      </w:r>
    </w:p>
    <w:p>
      <w:r>
        <w:rPr>
          <w:i/>
          <w:color w:val="255B83"/>
        </w:rPr>
        <w:t>•  Document and critically assess field experience in conversation with theological research.</w:t>
      </w:r>
    </w:p>
    <w:p>
      <w:r>
        <w:rPr>
          <w:i/>
          <w:color w:val="255B83"/>
        </w:rPr>
        <w:t>•  Present a coherent final paper identifying future implications for Christian service.</w:t>
      </w:r>
    </w:p>
    <w:p>
      <w:pPr>
        <w:pStyle w:val="Heading1"/>
      </w:pPr>
      <w:r>
        <w:t>4  Biblical and theological foundations</w:t>
      </w:r>
    </w:p>
    <w:p>
      <w:r>
        <w:rPr>
          <w:i/>
          <w:color w:val="255B83"/>
        </w:rPr>
        <w:t>The project will examine Genesis 12:1–3, Isaiah 49:6, Luke 10:1–20, Matthew 28:18–20, and Revelation 7:9–10, attending to literary and historical context. The study will explore mission as participation in God’s work rather than merely the completion of an activity.</w:t>
      </w:r>
    </w:p>
    <w:p>
      <w:r>
        <w:br w:type="page"/>
      </w:r>
    </w:p>
    <w:p>
      <w:pPr>
        <w:pStyle w:val="Title"/>
      </w:pPr>
      <w:r>
        <w:t>Learning plan &amp; academic engagement</w:t>
      </w:r>
    </w:p>
    <w:p>
      <w:pPr>
        <w:pStyle w:val="Heading1"/>
      </w:pPr>
      <w:r>
        <w:t>5  Proposed academic resources</w:t>
      </w:r>
    </w:p>
    <w:p>
      <w:r>
        <w:t>Use specific titles, authors, links, and anticipated learning outcomes. The examples below are illustrative and may be replaced.</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EAE3D9"/>
          </w:tcPr>
          <w:p>
            <w:pPr>
              <w:spacing w:after="20" w:before="20"/>
            </w:pPr>
            <w:r>
              <w:rPr>
                <w:b/>
                <w:sz w:val="16"/>
              </w:rPr>
              <w:t>Resource type</w:t>
            </w:r>
          </w:p>
        </w:tc>
        <w:tc>
          <w:tcPr>
            <w:tcW w:type="dxa" w:w="4896"/>
            <w:vAlign w:val="center"/>
            <w:shd w:fill="EAE3D9"/>
          </w:tcPr>
          <w:p>
            <w:pPr>
              <w:spacing w:after="20" w:before="20"/>
            </w:pPr>
            <w:r>
              <w:rPr>
                <w:b/>
                <w:sz w:val="16"/>
              </w:rPr>
              <w:t>Proposed resource / activity</w:t>
            </w:r>
          </w:p>
        </w:tc>
      </w:tr>
      <w:tr>
        <w:tc>
          <w:tcPr>
            <w:tcW w:type="dxa" w:w="4896"/>
            <w:vAlign w:val="center"/>
          </w:tcPr>
          <w:p>
            <w:pPr>
              <w:spacing w:after="20" w:before="20"/>
            </w:pPr>
            <w:r>
              <w:rPr>
                <w:sz w:val="16"/>
              </w:rPr>
              <w:t>Books (1–2+)</w:t>
            </w:r>
          </w:p>
        </w:tc>
        <w:tc>
          <w:tcPr>
            <w:tcW w:type="dxa" w:w="4896"/>
            <w:vAlign w:val="center"/>
          </w:tcPr>
          <w:p>
            <w:pPr>
              <w:spacing w:after="20" w:before="20"/>
            </w:pPr>
            <w:r>
              <w:rPr>
                <w:sz w:val="16"/>
              </w:rPr>
              <w:t>[Book 1: author, title]  |  [Book 2: author, title]</w:t>
            </w:r>
          </w:p>
        </w:tc>
      </w:tr>
      <w:tr>
        <w:tc>
          <w:tcPr>
            <w:tcW w:type="dxa" w:w="4896"/>
            <w:vAlign w:val="center"/>
          </w:tcPr>
          <w:p>
            <w:pPr>
              <w:spacing w:after="20" w:before="20"/>
            </w:pPr>
            <w:r>
              <w:rPr>
                <w:sz w:val="16"/>
              </w:rPr>
              <w:t>Scholarly sources</w:t>
            </w:r>
          </w:p>
        </w:tc>
        <w:tc>
          <w:tcPr>
            <w:tcW w:type="dxa" w:w="4896"/>
            <w:vAlign w:val="center"/>
          </w:tcPr>
          <w:p>
            <w:pPr>
              <w:spacing w:after="20" w:before="20"/>
            </w:pPr>
            <w:r>
              <w:rPr>
                <w:sz w:val="16"/>
              </w:rPr>
              <w:t>[Relevant biblical commentary and 2–3 articles]</w:t>
            </w:r>
          </w:p>
        </w:tc>
      </w:tr>
      <w:tr>
        <w:tc>
          <w:tcPr>
            <w:tcW w:type="dxa" w:w="4896"/>
            <w:vAlign w:val="center"/>
          </w:tcPr>
          <w:p>
            <w:pPr>
              <w:spacing w:after="20" w:before="20"/>
            </w:pPr>
            <w:r>
              <w:rPr>
                <w:sz w:val="16"/>
              </w:rPr>
              <w:t>Recorded instruction</w:t>
            </w:r>
          </w:p>
        </w:tc>
        <w:tc>
          <w:tcPr>
            <w:tcW w:type="dxa" w:w="4896"/>
            <w:vAlign w:val="center"/>
          </w:tcPr>
          <w:p>
            <w:pPr>
              <w:spacing w:after="20" w:before="20"/>
            </w:pPr>
            <w:r>
              <w:rPr>
                <w:sz w:val="16"/>
              </w:rPr>
              <w:t>[Lectures, YouTube series, or theological podcasts with links]</w:t>
            </w:r>
          </w:p>
        </w:tc>
      </w:tr>
      <w:tr>
        <w:tc>
          <w:tcPr>
            <w:tcW w:type="dxa" w:w="4896"/>
            <w:vAlign w:val="center"/>
          </w:tcPr>
          <w:p>
            <w:pPr>
              <w:spacing w:after="20" w:before="20"/>
            </w:pPr>
            <w:r>
              <w:rPr>
                <w:sz w:val="16"/>
              </w:rPr>
              <w:t>Interviews / mentoring</w:t>
            </w:r>
          </w:p>
        </w:tc>
        <w:tc>
          <w:tcPr>
            <w:tcW w:type="dxa" w:w="4896"/>
            <w:vAlign w:val="center"/>
          </w:tcPr>
          <w:p>
            <w:pPr>
              <w:spacing w:after="20" w:before="20"/>
            </w:pPr>
            <w:r>
              <w:rPr>
                <w:sz w:val="16"/>
              </w:rPr>
              <w:t>[Two or three interviews with experienced missionaries or ministry leaders]</w:t>
            </w:r>
          </w:p>
        </w:tc>
      </w:tr>
    </w:tbl>
    <w:p>
      <w:pPr>
        <w:pStyle w:val="Heading1"/>
      </w:pPr>
      <w:r>
        <w:t>6  Proposed activity and hour allocation</w:t>
      </w:r>
    </w:p>
    <w:p>
      <w:r>
        <w:t>A typical three-credit independent study should demonstrate approximately 135 hours of purposeful academic engagement. Direct ministry activities count when clearly connected to approved learning outcomes and documented appropriately.</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EAE3D9"/>
          </w:tcPr>
          <w:p>
            <w:pPr>
              <w:spacing w:after="20" w:before="20"/>
            </w:pPr>
            <w:r>
              <w:rPr>
                <w:b/>
                <w:sz w:val="16"/>
              </w:rPr>
              <w:t>Activity</w:t>
            </w:r>
          </w:p>
        </w:tc>
        <w:tc>
          <w:tcPr>
            <w:tcW w:type="dxa" w:w="4896"/>
            <w:vAlign w:val="center"/>
            <w:shd w:fill="EAE3D9"/>
          </w:tcPr>
          <w:p>
            <w:pPr>
              <w:spacing w:after="20" w:before="20"/>
            </w:pPr>
            <w:r>
              <w:rPr>
                <w:b/>
                <w:sz w:val="16"/>
              </w:rPr>
              <w:t>Planned hours</w:t>
            </w:r>
          </w:p>
        </w:tc>
      </w:tr>
      <w:tr>
        <w:tc>
          <w:tcPr>
            <w:tcW w:type="dxa" w:w="4896"/>
            <w:vAlign w:val="center"/>
          </w:tcPr>
          <w:p>
            <w:pPr>
              <w:spacing w:after="20" w:before="20"/>
            </w:pPr>
            <w:r>
              <w:rPr>
                <w:sz w:val="16"/>
              </w:rPr>
              <w:t>Planning, objectives, and preparatory work</w:t>
            </w:r>
          </w:p>
        </w:tc>
        <w:tc>
          <w:tcPr>
            <w:tcW w:type="dxa" w:w="4896"/>
            <w:vAlign w:val="center"/>
          </w:tcPr>
          <w:p>
            <w:pPr>
              <w:spacing w:after="20" w:before="20"/>
            </w:pPr>
            <w:r>
              <w:rPr>
                <w:sz w:val="16"/>
              </w:rPr>
              <w:t>10</w:t>
            </w:r>
          </w:p>
        </w:tc>
      </w:tr>
      <w:tr>
        <w:tc>
          <w:tcPr>
            <w:tcW w:type="dxa" w:w="4896"/>
            <w:vAlign w:val="center"/>
          </w:tcPr>
          <w:p>
            <w:pPr>
              <w:spacing w:after="20" w:before="20"/>
            </w:pPr>
            <w:r>
              <w:rPr>
                <w:sz w:val="16"/>
              </w:rPr>
              <w:t>Reading and research</w:t>
            </w:r>
          </w:p>
        </w:tc>
        <w:tc>
          <w:tcPr>
            <w:tcW w:type="dxa" w:w="4896"/>
            <w:vAlign w:val="center"/>
          </w:tcPr>
          <w:p>
            <w:pPr>
              <w:spacing w:after="20" w:before="20"/>
            </w:pPr>
            <w:r>
              <w:rPr>
                <w:sz w:val="16"/>
              </w:rPr>
              <w:t>30</w:t>
            </w:r>
          </w:p>
        </w:tc>
      </w:tr>
      <w:tr>
        <w:tc>
          <w:tcPr>
            <w:tcW w:type="dxa" w:w="4896"/>
            <w:vAlign w:val="center"/>
          </w:tcPr>
          <w:p>
            <w:pPr>
              <w:spacing w:after="20" w:before="20"/>
            </w:pPr>
            <w:r>
              <w:rPr>
                <w:sz w:val="16"/>
              </w:rPr>
              <w:t>Video lectures and podcasts</w:t>
            </w:r>
          </w:p>
        </w:tc>
        <w:tc>
          <w:tcPr>
            <w:tcW w:type="dxa" w:w="4896"/>
            <w:vAlign w:val="center"/>
          </w:tcPr>
          <w:p>
            <w:pPr>
              <w:spacing w:after="20" w:before="20"/>
            </w:pPr>
            <w:r>
              <w:rPr>
                <w:sz w:val="16"/>
              </w:rPr>
              <w:t>15</w:t>
            </w:r>
          </w:p>
        </w:tc>
      </w:tr>
      <w:tr>
        <w:tc>
          <w:tcPr>
            <w:tcW w:type="dxa" w:w="4896"/>
            <w:vAlign w:val="center"/>
          </w:tcPr>
          <w:p>
            <w:pPr>
              <w:spacing w:after="20" w:before="20"/>
            </w:pPr>
            <w:r>
              <w:rPr>
                <w:sz w:val="16"/>
              </w:rPr>
              <w:t>Interviews and advisor engagement</w:t>
            </w:r>
          </w:p>
        </w:tc>
        <w:tc>
          <w:tcPr>
            <w:tcW w:type="dxa" w:w="4896"/>
            <w:vAlign w:val="center"/>
          </w:tcPr>
          <w:p>
            <w:pPr>
              <w:spacing w:after="20" w:before="20"/>
            </w:pPr>
            <w:r>
              <w:rPr>
                <w:sz w:val="16"/>
              </w:rPr>
              <w:t>10</w:t>
            </w:r>
          </w:p>
        </w:tc>
      </w:tr>
      <w:tr>
        <w:tc>
          <w:tcPr>
            <w:tcW w:type="dxa" w:w="4896"/>
            <w:vAlign w:val="center"/>
          </w:tcPr>
          <w:p>
            <w:pPr>
              <w:spacing w:after="20" w:before="20"/>
            </w:pPr>
            <w:r>
              <w:rPr>
                <w:sz w:val="16"/>
              </w:rPr>
              <w:t>Supervised ministry and field reflection</w:t>
            </w:r>
          </w:p>
        </w:tc>
        <w:tc>
          <w:tcPr>
            <w:tcW w:type="dxa" w:w="4896"/>
            <w:vAlign w:val="center"/>
          </w:tcPr>
          <w:p>
            <w:pPr>
              <w:spacing w:after="20" w:before="20"/>
            </w:pPr>
            <w:r>
              <w:rPr>
                <w:sz w:val="16"/>
              </w:rPr>
              <w:t>45</w:t>
            </w:r>
          </w:p>
        </w:tc>
      </w:tr>
      <w:tr>
        <w:tc>
          <w:tcPr>
            <w:tcW w:type="dxa" w:w="4896"/>
            <w:vAlign w:val="center"/>
          </w:tcPr>
          <w:p>
            <w:pPr>
              <w:spacing w:after="20" w:before="20"/>
            </w:pPr>
            <w:r>
              <w:rPr>
                <w:sz w:val="16"/>
              </w:rPr>
              <w:t>Final paper, synthesis, and revision</w:t>
            </w:r>
          </w:p>
        </w:tc>
        <w:tc>
          <w:tcPr>
            <w:tcW w:type="dxa" w:w="4896"/>
            <w:vAlign w:val="center"/>
          </w:tcPr>
          <w:p>
            <w:pPr>
              <w:spacing w:after="20" w:before="20"/>
            </w:pPr>
            <w:r>
              <w:rPr>
                <w:sz w:val="16"/>
              </w:rPr>
              <w:t>25</w:t>
            </w:r>
          </w:p>
        </w:tc>
      </w:tr>
      <w:tr>
        <w:tc>
          <w:tcPr>
            <w:tcW w:type="dxa" w:w="4896"/>
            <w:vAlign w:val="center"/>
          </w:tcPr>
          <w:p>
            <w:pPr>
              <w:spacing w:after="20" w:before="20"/>
            </w:pPr>
            <w:r>
              <w:rPr>
                <w:sz w:val="16"/>
              </w:rPr>
              <w:t>TOTAL</w:t>
            </w:r>
          </w:p>
        </w:tc>
        <w:tc>
          <w:tcPr>
            <w:tcW w:type="dxa" w:w="4896"/>
            <w:vAlign w:val="center"/>
          </w:tcPr>
          <w:p>
            <w:pPr>
              <w:spacing w:after="20" w:before="20"/>
            </w:pPr>
            <w:r>
              <w:rPr>
                <w:sz w:val="16"/>
              </w:rPr>
              <w:t>135</w:t>
            </w:r>
          </w:p>
        </w:tc>
      </w:tr>
    </w:tbl>
    <w:p>
      <w:pPr>
        <w:pStyle w:val="Heading1"/>
      </w:pPr>
      <w:r>
        <w:t>7  Schedule &amp; major milestones</w:t>
      </w:r>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shd w:fill="EAE3D9"/>
          </w:tcPr>
          <w:p>
            <w:pPr>
              <w:spacing w:after="20" w:before="20"/>
            </w:pPr>
            <w:r>
              <w:rPr>
                <w:b/>
                <w:sz w:val="16"/>
              </w:rPr>
              <w:t>Phase</w:t>
            </w:r>
          </w:p>
        </w:tc>
        <w:tc>
          <w:tcPr>
            <w:tcW w:type="dxa" w:w="3264"/>
            <w:vAlign w:val="center"/>
            <w:shd w:fill="EAE3D9"/>
          </w:tcPr>
          <w:p>
            <w:pPr>
              <w:spacing w:after="20" w:before="20"/>
            </w:pPr>
            <w:r>
              <w:rPr>
                <w:b/>
                <w:sz w:val="16"/>
              </w:rPr>
              <w:t>Target date</w:t>
            </w:r>
          </w:p>
        </w:tc>
        <w:tc>
          <w:tcPr>
            <w:tcW w:type="dxa" w:w="3264"/>
            <w:vAlign w:val="center"/>
            <w:shd w:fill="EAE3D9"/>
          </w:tcPr>
          <w:p>
            <w:pPr>
              <w:spacing w:after="20" w:before="20"/>
            </w:pPr>
            <w:r>
              <w:rPr>
                <w:b/>
                <w:sz w:val="16"/>
              </w:rPr>
              <w:t>Evidence / deliverable</w:t>
            </w:r>
          </w:p>
        </w:tc>
      </w:tr>
      <w:tr>
        <w:tc>
          <w:tcPr>
            <w:tcW w:type="dxa" w:w="3264"/>
            <w:vAlign w:val="center"/>
          </w:tcPr>
          <w:p>
            <w:pPr>
              <w:spacing w:after="20" w:before="20"/>
            </w:pPr>
            <w:r>
              <w:rPr>
                <w:sz w:val="16"/>
              </w:rPr>
              <w:t>Pre-project preparation</w:t>
            </w:r>
          </w:p>
        </w:tc>
        <w:tc>
          <w:tcPr>
            <w:tcW w:type="dxa" w:w="3264"/>
            <w:vAlign w:val="center"/>
          </w:tcPr>
          <w:p>
            <w:pPr>
              <w:spacing w:after="20" w:before="20"/>
            </w:pPr>
            <w:r>
              <w:rPr>
                <w:sz w:val="16"/>
              </w:rPr>
              <w:t>[Date]</w:t>
            </w:r>
          </w:p>
        </w:tc>
        <w:tc>
          <w:tcPr>
            <w:tcW w:type="dxa" w:w="3264"/>
            <w:vAlign w:val="center"/>
          </w:tcPr>
          <w:p>
            <w:pPr>
              <w:spacing w:after="20" w:before="20"/>
            </w:pPr>
            <w:r>
              <w:rPr>
                <w:sz w:val="16"/>
              </w:rPr>
              <w:t>Resource list; reading notes; interview questions</w:t>
            </w:r>
          </w:p>
        </w:tc>
      </w:tr>
      <w:tr>
        <w:tc>
          <w:tcPr>
            <w:tcW w:type="dxa" w:w="3264"/>
            <w:vAlign w:val="center"/>
          </w:tcPr>
          <w:p>
            <w:pPr>
              <w:spacing w:after="20" w:before="20"/>
            </w:pPr>
            <w:r>
              <w:rPr>
                <w:sz w:val="16"/>
              </w:rPr>
              <w:t>Field or practical experience</w:t>
            </w:r>
          </w:p>
        </w:tc>
        <w:tc>
          <w:tcPr>
            <w:tcW w:type="dxa" w:w="3264"/>
            <w:vAlign w:val="center"/>
          </w:tcPr>
          <w:p>
            <w:pPr>
              <w:spacing w:after="20" w:before="20"/>
            </w:pPr>
            <w:r>
              <w:rPr>
                <w:sz w:val="16"/>
              </w:rPr>
              <w:t>[Date]</w:t>
            </w:r>
          </w:p>
        </w:tc>
        <w:tc>
          <w:tcPr>
            <w:tcW w:type="dxa" w:w="3264"/>
            <w:vAlign w:val="center"/>
          </w:tcPr>
          <w:p>
            <w:pPr>
              <w:spacing w:after="20" w:before="20"/>
            </w:pPr>
            <w:r>
              <w:rPr>
                <w:sz w:val="16"/>
              </w:rPr>
              <w:t>Activity log; observations; mentor check-in</w:t>
            </w:r>
          </w:p>
        </w:tc>
      </w:tr>
      <w:tr>
        <w:tc>
          <w:tcPr>
            <w:tcW w:type="dxa" w:w="3264"/>
            <w:vAlign w:val="center"/>
          </w:tcPr>
          <w:p>
            <w:pPr>
              <w:spacing w:after="20" w:before="20"/>
            </w:pPr>
            <w:r>
              <w:rPr>
                <w:sz w:val="16"/>
              </w:rPr>
              <w:t>Analysis and final submission</w:t>
            </w:r>
          </w:p>
        </w:tc>
        <w:tc>
          <w:tcPr>
            <w:tcW w:type="dxa" w:w="3264"/>
            <w:vAlign w:val="center"/>
          </w:tcPr>
          <w:p>
            <w:pPr>
              <w:spacing w:after="20" w:before="20"/>
            </w:pPr>
            <w:r>
              <w:rPr>
                <w:sz w:val="16"/>
              </w:rPr>
              <w:t>[Date]</w:t>
            </w:r>
          </w:p>
        </w:tc>
        <w:tc>
          <w:tcPr>
            <w:tcW w:type="dxa" w:w="3264"/>
            <w:vAlign w:val="center"/>
          </w:tcPr>
          <w:p>
            <w:pPr>
              <w:spacing w:after="20" w:before="20"/>
            </w:pPr>
            <w:r>
              <w:rPr>
                <w:sz w:val="16"/>
              </w:rPr>
              <w:t>Final paper and completed hour log</w:t>
            </w:r>
          </w:p>
        </w:tc>
      </w:tr>
    </w:tbl>
    <w:p>
      <w:pPr>
        <w:pStyle w:val="Heading1"/>
      </w:pPr>
      <w:r>
        <w:t>8  Documentation plan</w:t>
      </w:r>
    </w:p>
    <w:p>
      <w:r>
        <w:rPr>
          <w:i/>
          <w:color w:val="255B83"/>
        </w:rPr>
        <w:t>I will keep a dated log of academic activities, reading notes, interview summaries, and field observations. Hours will be grouped by learning objective and supported by an appropriate record of completed work. I will discuss progress with my TKC advisor at agreed-upon milestones.</w:t>
      </w:r>
    </w:p>
    <w:p>
      <w:r>
        <w:br w:type="page"/>
      </w:r>
    </w:p>
    <w:p>
      <w:pPr>
        <w:pStyle w:val="Title"/>
      </w:pPr>
      <w:r>
        <w:t>Assessment &amp; approval</w:t>
      </w:r>
    </w:p>
    <w:p>
      <w:pPr>
        <w:pStyle w:val="Heading1"/>
      </w:pPr>
      <w:r>
        <w:t>9  Final academic project</w:t>
      </w:r>
    </w:p>
    <w:p>
      <w:r>
        <w:rPr>
          <w:i/>
          <w:color w:val="255B83"/>
        </w:rPr>
        <w:t>I propose a 12–15-page integrative paper (excluding bibliography) that states the project’s objectives, analyzes biblical foundations and scholarly resources, describes the ministry setting and activities, critically evaluates outcomes, and identifies implications for future ministry. The length and format are subject to advisor approval and degree-level expectations.</w:t>
      </w:r>
    </w:p>
    <w:p>
      <w:pPr>
        <w:pStyle w:val="Heading1"/>
      </w:pPr>
      <w:r>
        <w:t>10  Proposed assessment evidence</w:t>
      </w:r>
    </w:p>
    <w:p>
      <w:r>
        <w:t>☐  Completed activity/hour log documenting approximately 135 qualifying hours</w:t>
      </w:r>
    </w:p>
    <w:p>
      <w:r>
        <w:t>☐  Evidence of engagement with assigned books and other approved resources</w:t>
      </w:r>
    </w:p>
    <w:p>
      <w:r>
        <w:t>☐  Summary of mentorship conversations and practical ministry experience</w:t>
      </w:r>
    </w:p>
    <w:p>
      <w:r>
        <w:t>☐  Final academic paper or approved equivalent project</w:t>
      </w:r>
    </w:p>
    <w:p>
      <w:r>
        <w:t>☐  Advisor review of demonstrated learning objectives</w:t>
      </w:r>
    </w:p>
    <w:p>
      <w:pPr>
        <w:pStyle w:val="Heading1"/>
      </w:pPr>
      <w:r>
        <w:t>11  Student statement</w:t>
      </w:r>
    </w:p>
    <w:p>
      <w:r>
        <w:t>I understand that this is a proposal, not an automatically approved course. I will obtain written academic approval before counting work toward credit, document my learning accurately, and complete all approved assignments and assessments.</w:t>
      </w:r>
    </w:p>
    <w:p>
      <w:pPr>
        <w:spacing w:after="100"/>
      </w:pPr>
      <w:r>
        <w:rPr>
          <w:b/>
          <w:color w:val="1D2F40"/>
        </w:rPr>
        <w:t xml:space="preserve">Student signature:  </w:t>
      </w:r>
      <w:r>
        <w:rPr>
          <w:i/>
          <w:color w:val="255B83"/>
        </w:rPr>
        <w:t>[Type name / sign]</w:t>
      </w:r>
    </w:p>
    <w:p>
      <w:pPr>
        <w:spacing w:after="100"/>
      </w:pPr>
      <w:r>
        <w:rPr>
          <w:b/>
          <w:color w:val="1D2F40"/>
        </w:rPr>
        <w:t xml:space="preserve">Date:  </w:t>
      </w:r>
      <w:r>
        <w:rPr>
          <w:i/>
          <w:color w:val="255B83"/>
        </w:rPr>
        <w:t>[Date]</w:t>
      </w:r>
    </w:p>
    <w:p>
      <w:pPr>
        <w:pStyle w:val="Heading1"/>
      </w:pPr>
      <w:r>
        <w:t>12  Faculty use only</w:t>
      </w:r>
    </w:p>
    <w:p>
      <w:pPr>
        <w:spacing w:after="100"/>
      </w:pPr>
      <w:r>
        <w:rPr>
          <w:b/>
          <w:color w:val="1D2F40"/>
        </w:rPr>
        <w:t xml:space="preserve">Decision:  </w:t>
      </w:r>
      <w:r>
        <w:rPr>
          <w:i/>
          <w:color w:val="255B83"/>
        </w:rPr>
        <w:t>☐ Approved    ☐ Approved with revisions    ☐ Not approved</w:t>
      </w:r>
    </w:p>
    <w:p>
      <w:pPr>
        <w:spacing w:after="100"/>
      </w:pPr>
      <w:r>
        <w:rPr>
          <w:b/>
          <w:color w:val="1D2F40"/>
        </w:rPr>
        <w:t xml:space="preserve">Approved credits:  </w:t>
      </w:r>
      <w:r>
        <w:rPr>
          <w:i/>
          <w:color w:val="255B83"/>
        </w:rPr>
        <w:t>[Number]</w:t>
      </w:r>
    </w:p>
    <w:p>
      <w:pPr>
        <w:spacing w:after="100"/>
      </w:pPr>
      <w:r>
        <w:rPr>
          <w:b/>
          <w:color w:val="1D2F40"/>
        </w:rPr>
        <w:t xml:space="preserve">Approved final deliverable / modifications:  </w:t>
      </w:r>
      <w:r>
        <w:rPr>
          <w:i/>
          <w:color w:val="255B83"/>
        </w:rPr>
        <w:t>[Advisor notes]</w:t>
      </w:r>
    </w:p>
    <w:p>
      <w:pPr>
        <w:spacing w:after="100"/>
      </w:pPr>
      <w:r>
        <w:rPr>
          <w:b/>
          <w:color w:val="1D2F40"/>
        </w:rPr>
        <w:t xml:space="preserve">Advisor name / signature:  </w:t>
      </w:r>
      <w:r>
        <w:rPr>
          <w:i/>
          <w:color w:val="255B83"/>
        </w:rPr>
        <w:t>[Name / signature]</w:t>
      </w:r>
    </w:p>
    <w:p>
      <w:pPr>
        <w:spacing w:after="100"/>
      </w:pPr>
      <w:r>
        <w:rPr>
          <w:b/>
          <w:color w:val="1D2F40"/>
        </w:rPr>
        <w:t xml:space="preserve">Approval date:  </w:t>
      </w:r>
      <w:r>
        <w:rPr>
          <w:i/>
          <w:color w:val="255B83"/>
        </w:rPr>
        <w:t>[Date]</w:t>
      </w:r>
    </w:p>
    <w:p>
      <w:r>
        <w:t>Submission: Send your completed proposal to your TKC academic advisor or DrRyan@TKC.education. Keep a copy of the approved proposal and any subsequent agreed changes.</w:t>
      </w:r>
    </w:p>
    <w:p>
      <w:r>
        <w:rPr>
          <w:sz w:val="16"/>
        </w:rPr>
        <w:t>NOTE: The hour distribution, final-paper length, and resource suggestions in this example are proposed guidelines for advisor review, not a substitute for TKC’s formal academic policies.</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86E"/>
        <w:sz w:val="15"/>
      </w:rPr>
      <w:t>TKC.EDUCATION   •   DrRyan@TKC.education   •   INDEPENDENT STUDY PROPOSAL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Display" w:hAnsi="Aptos Display"/>
        <w:b/>
        <w:color w:val="1D2F40"/>
        <w:sz w:val="30"/>
      </w:rPr>
      <w:t>THE KING’S COMMISSION</w:t>
    </w:r>
    <w:r>
      <w:rPr>
        <w:color w:val="976C40"/>
      </w:rPr>
      <w:br/>
      <w:t>S C H O O L   O F   D I V I N I T 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D2F4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1D2F40"/>
      <w:sz w:val="2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976C4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Aptos Display" w:hAnsi="Aptos Display"/>
      <w:b/>
      <w:color w:val="1D2F4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